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3C97" w14:textId="0E295360" w:rsidR="00F75343" w:rsidRDefault="004C0E89" w:rsidP="00C924AF">
      <w:pPr>
        <w:spacing w:after="240"/>
        <w:ind w:right="440"/>
        <w:jc w:val="right"/>
        <w:rPr>
          <w:rFonts w:asciiTheme="majorHAnsi" w:hAnsiTheme="majorHAnsi" w:cstheme="majorHAnsi"/>
          <w:color w:val="002060"/>
          <w:sz w:val="22"/>
          <w:szCs w:val="22"/>
          <w:lang w:val="en-US"/>
        </w:rPr>
      </w:pPr>
      <w:r>
        <w:rPr>
          <w:rFonts w:asciiTheme="majorHAnsi" w:hAnsiTheme="majorHAnsi" w:cstheme="majorHAnsi"/>
          <w:color w:val="002060"/>
          <w:sz w:val="22"/>
          <w:szCs w:val="22"/>
          <w:lang w:val="en-US"/>
        </w:rPr>
        <w:t>0</w:t>
      </w:r>
      <w:r w:rsidR="00371972">
        <w:rPr>
          <w:rFonts w:asciiTheme="majorHAnsi" w:hAnsiTheme="majorHAnsi" w:cstheme="majorHAnsi"/>
          <w:color w:val="002060"/>
          <w:sz w:val="22"/>
          <w:szCs w:val="22"/>
          <w:lang w:val="en-US"/>
        </w:rPr>
        <w:t>5</w:t>
      </w:r>
      <w:r w:rsidR="002B203C">
        <w:rPr>
          <w:rFonts w:asciiTheme="majorHAnsi" w:hAnsiTheme="majorHAnsi" w:cstheme="majorHAnsi"/>
          <w:color w:val="002060"/>
          <w:sz w:val="22"/>
          <w:szCs w:val="22"/>
          <w:lang w:val="en-US"/>
        </w:rPr>
        <w:t xml:space="preserve"> </w:t>
      </w:r>
      <w:r w:rsidR="002C7C57">
        <w:rPr>
          <w:rFonts w:asciiTheme="majorHAnsi" w:hAnsiTheme="majorHAnsi" w:cstheme="majorHAnsi"/>
          <w:color w:val="002060"/>
          <w:sz w:val="22"/>
          <w:szCs w:val="22"/>
          <w:lang w:val="en-US"/>
        </w:rPr>
        <w:t>February</w:t>
      </w:r>
      <w:r w:rsidR="00C73560" w:rsidRPr="00D05CEC">
        <w:rPr>
          <w:rFonts w:asciiTheme="majorHAnsi" w:hAnsiTheme="majorHAnsi" w:cstheme="majorHAnsi"/>
          <w:color w:val="002060"/>
          <w:sz w:val="22"/>
          <w:szCs w:val="22"/>
          <w:lang w:val="en-US"/>
        </w:rPr>
        <w:t xml:space="preserve"> 202</w:t>
      </w:r>
      <w:r w:rsidR="002C7C57">
        <w:rPr>
          <w:rFonts w:asciiTheme="majorHAnsi" w:hAnsiTheme="majorHAnsi" w:cstheme="majorHAnsi"/>
          <w:color w:val="002060"/>
          <w:sz w:val="22"/>
          <w:szCs w:val="22"/>
          <w:lang w:val="en-US"/>
        </w:rPr>
        <w:t>4</w:t>
      </w:r>
    </w:p>
    <w:p w14:paraId="524A22EF" w14:textId="77777777" w:rsidR="00E06A02" w:rsidRDefault="00E06A02" w:rsidP="00E06A02">
      <w:pPr>
        <w:jc w:val="center"/>
        <w:rPr>
          <w:rFonts w:asciiTheme="majorHAnsi" w:hAnsiTheme="majorHAnsi" w:cstheme="majorHAnsi"/>
          <w:b/>
          <w:bCs/>
          <w:color w:val="002060"/>
          <w:sz w:val="22"/>
          <w:szCs w:val="22"/>
          <w:lang w:val="en-US"/>
        </w:rPr>
      </w:pPr>
    </w:p>
    <w:p w14:paraId="12CE72A9" w14:textId="77777777" w:rsidR="00E06A02" w:rsidRDefault="00E06A02" w:rsidP="00E06A02">
      <w:pPr>
        <w:jc w:val="center"/>
        <w:rPr>
          <w:rFonts w:asciiTheme="majorHAnsi" w:hAnsiTheme="majorHAnsi" w:cstheme="majorHAnsi"/>
          <w:b/>
          <w:bCs/>
          <w:color w:val="002060"/>
          <w:sz w:val="22"/>
          <w:szCs w:val="22"/>
          <w:lang w:val="en-US"/>
        </w:rPr>
      </w:pPr>
    </w:p>
    <w:p w14:paraId="1FB71B00" w14:textId="77777777" w:rsidR="00371972" w:rsidRDefault="00371972" w:rsidP="00371972">
      <w:pPr>
        <w:jc w:val="center"/>
        <w:rPr>
          <w:rFonts w:asciiTheme="majorHAnsi" w:hAnsiTheme="majorHAnsi" w:cstheme="majorHAnsi"/>
          <w:b/>
          <w:bCs/>
          <w:color w:val="002060"/>
          <w:lang w:val="en-US"/>
        </w:rPr>
      </w:pPr>
    </w:p>
    <w:p w14:paraId="195F4ED1" w14:textId="33EBE8C4" w:rsidR="00371972" w:rsidRPr="00371972" w:rsidRDefault="0040376C" w:rsidP="004C0E89">
      <w:pPr>
        <w:jc w:val="center"/>
        <w:rPr>
          <w:rFonts w:asciiTheme="majorHAnsi" w:hAnsiTheme="majorHAnsi" w:cstheme="majorHAnsi"/>
          <w:b/>
          <w:bCs/>
          <w:color w:val="002060"/>
          <w:lang w:val="en-US"/>
        </w:rPr>
      </w:pPr>
      <w:r>
        <w:rPr>
          <w:rFonts w:asciiTheme="majorHAnsi" w:hAnsiTheme="majorHAnsi" w:cstheme="majorHAnsi"/>
          <w:b/>
          <w:bCs/>
          <w:color w:val="002060"/>
          <w:lang w:val="en-US"/>
        </w:rPr>
        <w:t>Brief Overview of Finance Act 2023 for Kenya</w:t>
      </w:r>
    </w:p>
    <w:p w14:paraId="0156B56C" w14:textId="0EBE7482" w:rsidR="00E06FB4" w:rsidRPr="00371972" w:rsidRDefault="00E06FB4" w:rsidP="00371972">
      <w:pPr>
        <w:rPr>
          <w:rFonts w:asciiTheme="majorHAnsi" w:hAnsiTheme="majorHAnsi" w:cstheme="majorHAnsi"/>
          <w:b/>
          <w:bCs/>
          <w:color w:val="002060"/>
          <w:sz w:val="22"/>
          <w:szCs w:val="22"/>
          <w:lang w:val="en-GB"/>
        </w:rPr>
      </w:pPr>
    </w:p>
    <w:p w14:paraId="3152DC6B" w14:textId="77777777" w:rsidR="001666FD" w:rsidRDefault="001666FD" w:rsidP="00094C87">
      <w:pPr>
        <w:rPr>
          <w:rFonts w:asciiTheme="majorHAnsi" w:hAnsiTheme="majorHAnsi" w:cstheme="majorHAnsi"/>
          <w:color w:val="002060"/>
          <w:sz w:val="22"/>
          <w:szCs w:val="22"/>
          <w:lang w:val="en-US"/>
        </w:rPr>
      </w:pPr>
    </w:p>
    <w:p w14:paraId="0E325519" w14:textId="77777777" w:rsidR="00371972" w:rsidRPr="00371972" w:rsidRDefault="00371972" w:rsidP="00094C87">
      <w:pPr>
        <w:rPr>
          <w:rFonts w:asciiTheme="majorHAnsi" w:hAnsiTheme="majorHAnsi" w:cstheme="majorHAnsi"/>
          <w:color w:val="002060"/>
          <w:sz w:val="22"/>
          <w:szCs w:val="22"/>
          <w:lang w:val="en-US"/>
        </w:rPr>
      </w:pPr>
    </w:p>
    <w:p w14:paraId="0A6FC8A4" w14:textId="7C4D6C49" w:rsidR="007D6039" w:rsidRPr="0040376C" w:rsidRDefault="007D6039" w:rsidP="007D6039">
      <w:pPr>
        <w:jc w:val="both"/>
        <w:rPr>
          <w:rFonts w:asciiTheme="majorHAnsi" w:hAnsiTheme="majorHAnsi" w:cstheme="majorHAnsi"/>
          <w:color w:val="002060"/>
          <w:sz w:val="22"/>
          <w:szCs w:val="22"/>
          <w:lang w:val="en-US"/>
        </w:rPr>
      </w:pPr>
      <w:r w:rsidRPr="0040376C">
        <w:rPr>
          <w:rFonts w:asciiTheme="majorHAnsi" w:hAnsiTheme="majorHAnsi" w:cstheme="majorHAnsi"/>
          <w:color w:val="002060"/>
          <w:sz w:val="22"/>
          <w:szCs w:val="22"/>
          <w:lang w:val="en-US"/>
        </w:rPr>
        <w:t xml:space="preserve">The Finance Act 2023 was assented by the President on 26th June 2023. This article aims to provide some insight to our stakeholders having dealings in Kenya on the notable changes that might possibly impact them in the future. </w:t>
      </w:r>
    </w:p>
    <w:p w14:paraId="5CC2A64F" w14:textId="77777777" w:rsidR="0040376C" w:rsidRPr="0040376C" w:rsidRDefault="0040376C" w:rsidP="007D6039">
      <w:pPr>
        <w:jc w:val="both"/>
        <w:rPr>
          <w:rFonts w:asciiTheme="majorHAnsi" w:hAnsiTheme="majorHAnsi" w:cstheme="majorHAnsi"/>
          <w:color w:val="002060"/>
          <w:sz w:val="22"/>
          <w:szCs w:val="22"/>
          <w:lang w:val="en-US"/>
        </w:rPr>
      </w:pPr>
    </w:p>
    <w:p w14:paraId="7EE61608" w14:textId="4541E8A3" w:rsidR="0040376C" w:rsidRPr="0040376C" w:rsidRDefault="005D2EF6" w:rsidP="0040376C">
      <w:pPr>
        <w:jc w:val="both"/>
        <w:rPr>
          <w:rFonts w:asciiTheme="majorHAnsi" w:hAnsiTheme="majorHAnsi" w:cstheme="majorHAnsi"/>
          <w:color w:val="002060"/>
          <w:sz w:val="22"/>
          <w:szCs w:val="22"/>
          <w:lang w:val="en-US"/>
        </w:rPr>
      </w:pPr>
      <w:r>
        <w:rPr>
          <w:rFonts w:asciiTheme="majorHAnsi" w:hAnsiTheme="majorHAnsi" w:cstheme="majorHAnsi"/>
          <w:color w:val="002060"/>
          <w:sz w:val="22"/>
          <w:szCs w:val="22"/>
          <w:lang w:val="en-US"/>
        </w:rPr>
        <w:t>A</w:t>
      </w:r>
      <w:r w:rsidR="0040376C" w:rsidRPr="0040376C">
        <w:rPr>
          <w:rFonts w:asciiTheme="majorHAnsi" w:hAnsiTheme="majorHAnsi" w:cstheme="majorHAnsi"/>
          <w:color w:val="002060"/>
          <w:sz w:val="22"/>
          <w:szCs w:val="22"/>
          <w:lang w:val="en-US"/>
        </w:rPr>
        <w:t xml:space="preserve"> recap of such key amendments as laid down in the Finance Act 2023 have been outlined below.</w:t>
      </w:r>
    </w:p>
    <w:p w14:paraId="001D4B80" w14:textId="77777777" w:rsidR="0040376C" w:rsidRDefault="0040376C" w:rsidP="007D6039">
      <w:pPr>
        <w:jc w:val="both"/>
        <w:rPr>
          <w:color w:val="002060"/>
          <w:lang w:val="en-US"/>
        </w:rPr>
      </w:pPr>
    </w:p>
    <w:p w14:paraId="51CFD0F0" w14:textId="77777777" w:rsidR="000F62BB" w:rsidRDefault="000F62BB" w:rsidP="00371972">
      <w:pPr>
        <w:rPr>
          <w:rFonts w:asciiTheme="majorHAnsi" w:hAnsiTheme="majorHAnsi" w:cstheme="majorHAnsi"/>
          <w:color w:val="002060"/>
          <w:sz w:val="22"/>
          <w:szCs w:val="22"/>
          <w:lang w:val="en-US"/>
        </w:rPr>
      </w:pPr>
    </w:p>
    <w:p w14:paraId="50156765" w14:textId="31AC1F43" w:rsidR="00371972" w:rsidRDefault="001F0FC5" w:rsidP="00371972">
      <w:pPr>
        <w:rPr>
          <w:rFonts w:asciiTheme="majorHAnsi" w:hAnsiTheme="majorHAnsi" w:cstheme="majorHAnsi"/>
          <w:b/>
          <w:bCs/>
          <w:color w:val="002060"/>
          <w:sz w:val="22"/>
          <w:szCs w:val="22"/>
          <w:u w:val="single"/>
          <w:lang w:val="en-US"/>
        </w:rPr>
      </w:pPr>
      <w:r>
        <w:rPr>
          <w:rFonts w:asciiTheme="majorHAnsi" w:hAnsiTheme="majorHAnsi" w:cstheme="majorHAnsi"/>
          <w:b/>
          <w:bCs/>
          <w:color w:val="002060"/>
          <w:sz w:val="22"/>
          <w:szCs w:val="22"/>
          <w:u w:val="single"/>
          <w:lang w:val="en-US"/>
        </w:rPr>
        <w:t>Capital Gains Tax</w:t>
      </w:r>
    </w:p>
    <w:p w14:paraId="6523CF3C" w14:textId="77777777" w:rsidR="001202CD" w:rsidRDefault="001202CD" w:rsidP="00371972">
      <w:pPr>
        <w:rPr>
          <w:rFonts w:asciiTheme="majorHAnsi" w:hAnsiTheme="majorHAnsi" w:cstheme="majorHAnsi"/>
          <w:b/>
          <w:bCs/>
          <w:color w:val="002060"/>
          <w:sz w:val="22"/>
          <w:szCs w:val="22"/>
          <w:u w:val="single"/>
          <w:lang w:val="en-US"/>
        </w:rPr>
      </w:pPr>
    </w:p>
    <w:p w14:paraId="15D60F01" w14:textId="77777777" w:rsidR="001202CD" w:rsidRDefault="001202CD" w:rsidP="001202CD">
      <w:pPr>
        <w:jc w:val="both"/>
        <w:rPr>
          <w:rFonts w:asciiTheme="majorHAnsi" w:hAnsiTheme="majorHAnsi" w:cstheme="majorHAnsi"/>
          <w:color w:val="002060"/>
          <w:sz w:val="22"/>
          <w:szCs w:val="22"/>
          <w:lang w:val="en-US"/>
        </w:rPr>
      </w:pPr>
      <w:r w:rsidRPr="001202CD">
        <w:rPr>
          <w:rFonts w:asciiTheme="majorHAnsi" w:hAnsiTheme="majorHAnsi" w:cstheme="majorHAnsi"/>
          <w:color w:val="002060"/>
          <w:sz w:val="22"/>
          <w:szCs w:val="22"/>
          <w:lang w:val="en-US"/>
        </w:rPr>
        <w:t>The amendments brought to Capital Gains Tax (CGT) are of paramount importance for foreign investors.</w:t>
      </w:r>
    </w:p>
    <w:p w14:paraId="3AE2AA1A" w14:textId="77777777" w:rsidR="00924280" w:rsidRPr="001202CD" w:rsidRDefault="00924280" w:rsidP="001202CD">
      <w:pPr>
        <w:jc w:val="both"/>
        <w:rPr>
          <w:rFonts w:asciiTheme="majorHAnsi" w:hAnsiTheme="majorHAnsi" w:cstheme="majorHAnsi"/>
          <w:color w:val="002060"/>
          <w:sz w:val="22"/>
          <w:szCs w:val="22"/>
          <w:lang w:val="en-US"/>
        </w:rPr>
      </w:pPr>
    </w:p>
    <w:p w14:paraId="500A553B" w14:textId="77777777" w:rsidR="001202CD" w:rsidRDefault="001202CD" w:rsidP="001202CD">
      <w:pPr>
        <w:jc w:val="both"/>
        <w:rPr>
          <w:rFonts w:asciiTheme="majorHAnsi" w:hAnsiTheme="majorHAnsi" w:cstheme="majorHAnsi"/>
          <w:color w:val="002060"/>
          <w:sz w:val="22"/>
          <w:szCs w:val="22"/>
          <w:lang w:val="en-US"/>
        </w:rPr>
      </w:pPr>
      <w:r w:rsidRPr="001202CD">
        <w:rPr>
          <w:rFonts w:asciiTheme="majorHAnsi" w:hAnsiTheme="majorHAnsi" w:cstheme="majorHAnsi"/>
          <w:color w:val="002060"/>
          <w:sz w:val="22"/>
          <w:szCs w:val="22"/>
          <w:lang w:val="en-US"/>
        </w:rPr>
        <w:t>Last year, the Finance Act 2022 amended the Kenyan Income Tax Act to increase the Capital Gains Tax rate from 5% to 15% with the aim to align the Kenyan CGT rate with other countries in the region. The change became effective as from 1st January 2023.</w:t>
      </w:r>
    </w:p>
    <w:p w14:paraId="00F2DC7C" w14:textId="77777777" w:rsidR="005575F0" w:rsidRPr="001202CD" w:rsidRDefault="005575F0" w:rsidP="001202CD">
      <w:pPr>
        <w:jc w:val="both"/>
        <w:rPr>
          <w:rFonts w:asciiTheme="majorHAnsi" w:hAnsiTheme="majorHAnsi" w:cstheme="majorHAnsi"/>
          <w:color w:val="002060"/>
          <w:sz w:val="22"/>
          <w:szCs w:val="22"/>
          <w:lang w:val="en-US"/>
        </w:rPr>
      </w:pPr>
    </w:p>
    <w:p w14:paraId="3774974B" w14:textId="77777777" w:rsidR="001202CD" w:rsidRDefault="001202CD" w:rsidP="001202CD">
      <w:pPr>
        <w:jc w:val="both"/>
        <w:rPr>
          <w:rFonts w:asciiTheme="majorHAnsi" w:hAnsiTheme="majorHAnsi" w:cstheme="majorHAnsi"/>
          <w:color w:val="002060"/>
          <w:sz w:val="22"/>
          <w:szCs w:val="22"/>
          <w:lang w:val="en-US"/>
        </w:rPr>
      </w:pPr>
      <w:r w:rsidRPr="001202CD">
        <w:rPr>
          <w:rFonts w:asciiTheme="majorHAnsi" w:hAnsiTheme="majorHAnsi" w:cstheme="majorHAnsi"/>
          <w:color w:val="002060"/>
          <w:sz w:val="22"/>
          <w:szCs w:val="22"/>
          <w:lang w:val="en-US"/>
        </w:rPr>
        <w:t>One year later, the underlying provisions of CGT were reviewed with an expanded scope.</w:t>
      </w:r>
    </w:p>
    <w:p w14:paraId="461B4EF4" w14:textId="77777777" w:rsidR="005575F0" w:rsidRPr="001202CD" w:rsidRDefault="005575F0" w:rsidP="001202CD">
      <w:pPr>
        <w:jc w:val="both"/>
        <w:rPr>
          <w:rFonts w:asciiTheme="majorHAnsi" w:hAnsiTheme="majorHAnsi" w:cstheme="majorHAnsi"/>
          <w:color w:val="002060"/>
          <w:sz w:val="22"/>
          <w:szCs w:val="22"/>
          <w:lang w:val="en-US"/>
        </w:rPr>
      </w:pPr>
    </w:p>
    <w:p w14:paraId="5856DB44" w14:textId="77777777" w:rsidR="00924280" w:rsidRDefault="001202CD" w:rsidP="001202CD">
      <w:pPr>
        <w:pStyle w:val="ListParagraph"/>
        <w:numPr>
          <w:ilvl w:val="0"/>
          <w:numId w:val="36"/>
        </w:numPr>
        <w:jc w:val="both"/>
        <w:rPr>
          <w:rFonts w:asciiTheme="majorHAnsi" w:hAnsiTheme="majorHAnsi" w:cstheme="majorHAnsi"/>
          <w:color w:val="002060"/>
          <w:lang w:val="en-US"/>
        </w:rPr>
      </w:pPr>
      <w:r w:rsidRPr="00924280">
        <w:rPr>
          <w:rFonts w:asciiTheme="majorHAnsi" w:hAnsiTheme="majorHAnsi" w:cstheme="majorHAnsi"/>
          <w:color w:val="002060"/>
          <w:lang w:val="en-US"/>
        </w:rPr>
        <w:t xml:space="preserve">As per the new provisions of the Finance Act 2023, gains resulting from the disposal of shares by the transferor who derives more than 20% of his value directly or indirectly from immoveable property located in Kenya at any time during the 365 days preceding the disposal, will be subject to capital gains tax in Kenya. </w:t>
      </w:r>
    </w:p>
    <w:p w14:paraId="33ADC925" w14:textId="77777777" w:rsidR="005575F0" w:rsidRDefault="005575F0" w:rsidP="005575F0">
      <w:pPr>
        <w:pStyle w:val="ListParagraph"/>
        <w:jc w:val="both"/>
        <w:rPr>
          <w:rFonts w:asciiTheme="majorHAnsi" w:hAnsiTheme="majorHAnsi" w:cstheme="majorHAnsi"/>
          <w:color w:val="002060"/>
          <w:lang w:val="en-US"/>
        </w:rPr>
      </w:pPr>
    </w:p>
    <w:p w14:paraId="68DD7FB6" w14:textId="77777777" w:rsidR="00924280" w:rsidRDefault="001202CD" w:rsidP="001202CD">
      <w:pPr>
        <w:pStyle w:val="ListParagraph"/>
        <w:numPr>
          <w:ilvl w:val="0"/>
          <w:numId w:val="36"/>
        </w:numPr>
        <w:jc w:val="both"/>
        <w:rPr>
          <w:rFonts w:asciiTheme="majorHAnsi" w:hAnsiTheme="majorHAnsi" w:cstheme="majorHAnsi"/>
          <w:color w:val="002060"/>
          <w:lang w:val="en-US"/>
        </w:rPr>
      </w:pPr>
      <w:r w:rsidRPr="00924280">
        <w:rPr>
          <w:rFonts w:asciiTheme="majorHAnsi" w:hAnsiTheme="majorHAnsi" w:cstheme="majorHAnsi"/>
          <w:color w:val="002060"/>
          <w:lang w:val="en-US"/>
        </w:rPr>
        <w:t>A non-resident person holding at least 20% shareholding in a Kenyan based entity at any time during the 365 days preceding the disposal, will be liable to capital gains tax in Kenya upon disposal of his interest.</w:t>
      </w:r>
    </w:p>
    <w:p w14:paraId="115BC8BE" w14:textId="77777777" w:rsidR="005575F0" w:rsidRDefault="005575F0" w:rsidP="005575F0">
      <w:pPr>
        <w:pStyle w:val="ListParagraph"/>
        <w:jc w:val="both"/>
        <w:rPr>
          <w:rFonts w:asciiTheme="majorHAnsi" w:hAnsiTheme="majorHAnsi" w:cstheme="majorHAnsi"/>
          <w:color w:val="002060"/>
          <w:lang w:val="en-US"/>
        </w:rPr>
      </w:pPr>
    </w:p>
    <w:p w14:paraId="0DEA5CA6" w14:textId="77777777" w:rsidR="00924280" w:rsidRDefault="001202CD" w:rsidP="001202CD">
      <w:pPr>
        <w:pStyle w:val="ListParagraph"/>
        <w:numPr>
          <w:ilvl w:val="0"/>
          <w:numId w:val="36"/>
        </w:numPr>
        <w:jc w:val="both"/>
        <w:rPr>
          <w:rFonts w:asciiTheme="majorHAnsi" w:hAnsiTheme="majorHAnsi" w:cstheme="majorHAnsi"/>
          <w:color w:val="002060"/>
          <w:lang w:val="en-US"/>
        </w:rPr>
      </w:pPr>
      <w:r w:rsidRPr="00924280">
        <w:rPr>
          <w:rFonts w:asciiTheme="majorHAnsi" w:hAnsiTheme="majorHAnsi" w:cstheme="majorHAnsi"/>
          <w:color w:val="002060"/>
          <w:lang w:val="en-US"/>
        </w:rPr>
        <w:t>The Commissioner should be notified in writing by the transferor where there is a change of at least 20% in the underlying ownership of the property.</w:t>
      </w:r>
    </w:p>
    <w:p w14:paraId="5B1A2B92" w14:textId="77777777" w:rsidR="005575F0" w:rsidRDefault="005575F0" w:rsidP="005575F0">
      <w:pPr>
        <w:pStyle w:val="ListParagraph"/>
        <w:jc w:val="both"/>
        <w:rPr>
          <w:rFonts w:asciiTheme="majorHAnsi" w:hAnsiTheme="majorHAnsi" w:cstheme="majorHAnsi"/>
          <w:color w:val="002060"/>
          <w:lang w:val="en-US"/>
        </w:rPr>
      </w:pPr>
    </w:p>
    <w:p w14:paraId="5E6BF6E7" w14:textId="3C81D020" w:rsidR="001202CD" w:rsidRPr="00924280" w:rsidRDefault="001202CD" w:rsidP="001202CD">
      <w:pPr>
        <w:pStyle w:val="ListParagraph"/>
        <w:numPr>
          <w:ilvl w:val="0"/>
          <w:numId w:val="36"/>
        </w:numPr>
        <w:jc w:val="both"/>
        <w:rPr>
          <w:rFonts w:asciiTheme="majorHAnsi" w:hAnsiTheme="majorHAnsi" w:cstheme="majorHAnsi"/>
          <w:color w:val="002060"/>
          <w:lang w:val="en-US"/>
        </w:rPr>
      </w:pPr>
      <w:r w:rsidRPr="00924280">
        <w:rPr>
          <w:rFonts w:asciiTheme="majorHAnsi" w:hAnsiTheme="majorHAnsi" w:cstheme="majorHAnsi"/>
          <w:color w:val="002060"/>
          <w:lang w:val="en-US"/>
        </w:rPr>
        <w:t>The Authorities would need to shed light on the tax obligation which will rest either on the non-resident person disposing his interest or the Kenyan entity whose shares are being transferred when the disposal occurs outside Kenya. Either party would be obliged to settle the capital gains tax liability to the Kenyan Authorities.</w:t>
      </w:r>
    </w:p>
    <w:p w14:paraId="54EFA8EA" w14:textId="77777777" w:rsidR="001202CD" w:rsidRDefault="001202CD" w:rsidP="001202CD">
      <w:pPr>
        <w:jc w:val="both"/>
        <w:rPr>
          <w:rFonts w:asciiTheme="majorHAnsi" w:hAnsiTheme="majorHAnsi" w:cstheme="majorHAnsi"/>
          <w:color w:val="002060"/>
          <w:sz w:val="22"/>
          <w:szCs w:val="22"/>
          <w:lang w:val="en-US"/>
        </w:rPr>
      </w:pPr>
    </w:p>
    <w:p w14:paraId="1AFF3A66" w14:textId="77777777" w:rsidR="00883305" w:rsidRDefault="00883305" w:rsidP="001202CD">
      <w:pPr>
        <w:jc w:val="both"/>
        <w:rPr>
          <w:rFonts w:asciiTheme="majorHAnsi" w:hAnsiTheme="majorHAnsi" w:cstheme="majorHAnsi"/>
          <w:color w:val="002060"/>
          <w:sz w:val="22"/>
          <w:szCs w:val="22"/>
          <w:lang w:val="en-US"/>
        </w:rPr>
      </w:pPr>
    </w:p>
    <w:p w14:paraId="06AA3261" w14:textId="77777777" w:rsidR="00883305" w:rsidRDefault="00883305" w:rsidP="001202CD">
      <w:pPr>
        <w:jc w:val="both"/>
        <w:rPr>
          <w:rFonts w:asciiTheme="majorHAnsi" w:hAnsiTheme="majorHAnsi" w:cstheme="majorHAnsi"/>
          <w:color w:val="002060"/>
          <w:sz w:val="22"/>
          <w:szCs w:val="22"/>
          <w:lang w:val="en-US"/>
        </w:rPr>
      </w:pPr>
    </w:p>
    <w:p w14:paraId="2CE84A07" w14:textId="77777777" w:rsidR="00883305" w:rsidRDefault="00883305" w:rsidP="001202CD">
      <w:pPr>
        <w:jc w:val="both"/>
        <w:rPr>
          <w:rFonts w:asciiTheme="majorHAnsi" w:hAnsiTheme="majorHAnsi" w:cstheme="majorHAnsi"/>
          <w:color w:val="002060"/>
          <w:sz w:val="22"/>
          <w:szCs w:val="22"/>
          <w:lang w:val="en-US"/>
        </w:rPr>
      </w:pPr>
    </w:p>
    <w:p w14:paraId="752DD655" w14:textId="77777777" w:rsidR="00883305" w:rsidRPr="001202CD" w:rsidRDefault="00883305" w:rsidP="001202CD">
      <w:pPr>
        <w:jc w:val="both"/>
        <w:rPr>
          <w:rFonts w:asciiTheme="majorHAnsi" w:hAnsiTheme="majorHAnsi" w:cstheme="majorHAnsi"/>
          <w:color w:val="002060"/>
          <w:sz w:val="22"/>
          <w:szCs w:val="22"/>
          <w:lang w:val="en-US"/>
        </w:rPr>
      </w:pPr>
    </w:p>
    <w:p w14:paraId="627CE086" w14:textId="77777777" w:rsidR="00B56396" w:rsidRDefault="00B56396" w:rsidP="001202CD">
      <w:pPr>
        <w:jc w:val="both"/>
        <w:rPr>
          <w:rFonts w:asciiTheme="majorHAnsi" w:hAnsiTheme="majorHAnsi" w:cstheme="majorHAnsi"/>
          <w:i/>
          <w:iCs/>
          <w:color w:val="002060"/>
          <w:sz w:val="22"/>
          <w:szCs w:val="22"/>
          <w:lang w:val="en-US"/>
        </w:rPr>
      </w:pPr>
    </w:p>
    <w:p w14:paraId="09300608" w14:textId="306D0C48" w:rsidR="001202CD" w:rsidRDefault="001202CD" w:rsidP="001202CD">
      <w:pPr>
        <w:jc w:val="both"/>
        <w:rPr>
          <w:rFonts w:asciiTheme="majorHAnsi" w:hAnsiTheme="majorHAnsi" w:cstheme="majorHAnsi"/>
          <w:i/>
          <w:iCs/>
          <w:color w:val="002060"/>
          <w:sz w:val="22"/>
          <w:szCs w:val="22"/>
          <w:lang w:val="en-US"/>
        </w:rPr>
      </w:pPr>
      <w:r w:rsidRPr="007B1872">
        <w:rPr>
          <w:rFonts w:asciiTheme="majorHAnsi" w:hAnsiTheme="majorHAnsi" w:cstheme="majorHAnsi"/>
          <w:i/>
          <w:iCs/>
          <w:color w:val="002060"/>
          <w:sz w:val="22"/>
          <w:szCs w:val="22"/>
          <w:lang w:val="en-US"/>
        </w:rPr>
        <w:t>Some other inclusions within the ambit of CGT are as hereunder:</w:t>
      </w:r>
    </w:p>
    <w:p w14:paraId="1A5A1BFC" w14:textId="77777777" w:rsidR="00206F82" w:rsidRPr="007B1872" w:rsidRDefault="00206F82" w:rsidP="001202CD">
      <w:pPr>
        <w:jc w:val="both"/>
        <w:rPr>
          <w:rFonts w:asciiTheme="majorHAnsi" w:hAnsiTheme="majorHAnsi" w:cstheme="majorHAnsi"/>
          <w:i/>
          <w:iCs/>
          <w:color w:val="002060"/>
          <w:sz w:val="22"/>
          <w:szCs w:val="22"/>
          <w:lang w:val="en-US"/>
        </w:rPr>
      </w:pPr>
    </w:p>
    <w:p w14:paraId="26155244" w14:textId="3161C347" w:rsidR="001202CD" w:rsidRDefault="001202CD" w:rsidP="001202CD">
      <w:pPr>
        <w:pStyle w:val="ListParagraph"/>
        <w:numPr>
          <w:ilvl w:val="0"/>
          <w:numId w:val="37"/>
        </w:numPr>
        <w:jc w:val="both"/>
        <w:rPr>
          <w:rFonts w:asciiTheme="majorHAnsi" w:hAnsiTheme="majorHAnsi" w:cstheme="majorHAnsi"/>
          <w:color w:val="002060"/>
          <w:lang w:val="en-US"/>
        </w:rPr>
      </w:pPr>
      <w:r w:rsidRPr="007B1872">
        <w:rPr>
          <w:rFonts w:asciiTheme="majorHAnsi" w:hAnsiTheme="majorHAnsi" w:cstheme="majorHAnsi"/>
          <w:color w:val="002060"/>
          <w:lang w:val="en-US"/>
        </w:rPr>
        <w:t xml:space="preserve">Gains from transfer of property based in Kenya where such property is owned by </w:t>
      </w:r>
      <w:proofErr w:type="gramStart"/>
      <w:r w:rsidRPr="007B1872">
        <w:rPr>
          <w:rFonts w:asciiTheme="majorHAnsi" w:hAnsiTheme="majorHAnsi" w:cstheme="majorHAnsi"/>
          <w:color w:val="002060"/>
          <w:lang w:val="en-US"/>
        </w:rPr>
        <w:t>partnerships;</w:t>
      </w:r>
      <w:proofErr w:type="gramEnd"/>
    </w:p>
    <w:p w14:paraId="5BFADECB" w14:textId="77777777" w:rsidR="007B1872" w:rsidRPr="007B1872" w:rsidRDefault="007B1872" w:rsidP="007B1872">
      <w:pPr>
        <w:pStyle w:val="ListParagraph"/>
        <w:jc w:val="both"/>
        <w:rPr>
          <w:rFonts w:asciiTheme="majorHAnsi" w:hAnsiTheme="majorHAnsi" w:cstheme="majorHAnsi"/>
          <w:color w:val="002060"/>
          <w:lang w:val="en-US"/>
        </w:rPr>
      </w:pPr>
    </w:p>
    <w:p w14:paraId="1C92D503" w14:textId="021A3723" w:rsidR="007B1872" w:rsidRDefault="001202CD" w:rsidP="007B1872">
      <w:pPr>
        <w:pStyle w:val="ListParagraph"/>
        <w:numPr>
          <w:ilvl w:val="0"/>
          <w:numId w:val="37"/>
        </w:numPr>
        <w:jc w:val="both"/>
        <w:rPr>
          <w:rFonts w:asciiTheme="majorHAnsi" w:hAnsiTheme="majorHAnsi" w:cstheme="majorHAnsi"/>
          <w:color w:val="002060"/>
          <w:lang w:val="en-US"/>
        </w:rPr>
      </w:pPr>
      <w:r w:rsidRPr="007B1872">
        <w:rPr>
          <w:rFonts w:asciiTheme="majorHAnsi" w:hAnsiTheme="majorHAnsi" w:cstheme="majorHAnsi"/>
          <w:color w:val="002060"/>
          <w:lang w:val="en-US"/>
        </w:rPr>
        <w:t xml:space="preserve">Gains on internal reorganizations will only be exempted on the condition that the group has existed for at least 24 months prior to the </w:t>
      </w:r>
      <w:proofErr w:type="gramStart"/>
      <w:r w:rsidRPr="007B1872">
        <w:rPr>
          <w:rFonts w:asciiTheme="majorHAnsi" w:hAnsiTheme="majorHAnsi" w:cstheme="majorHAnsi"/>
          <w:color w:val="002060"/>
          <w:lang w:val="en-US"/>
        </w:rPr>
        <w:t>transfer;</w:t>
      </w:r>
      <w:proofErr w:type="gramEnd"/>
    </w:p>
    <w:p w14:paraId="2364F19C" w14:textId="77777777" w:rsidR="007B1872" w:rsidRPr="007B1872" w:rsidRDefault="007B1872" w:rsidP="007B1872">
      <w:pPr>
        <w:pStyle w:val="ListParagraph"/>
        <w:jc w:val="both"/>
        <w:rPr>
          <w:rFonts w:asciiTheme="majorHAnsi" w:hAnsiTheme="majorHAnsi" w:cstheme="majorHAnsi"/>
          <w:color w:val="002060"/>
          <w:lang w:val="en-US"/>
        </w:rPr>
      </w:pPr>
    </w:p>
    <w:p w14:paraId="23B6E8B8" w14:textId="77777777" w:rsidR="007B1872" w:rsidRDefault="001202CD" w:rsidP="001202CD">
      <w:pPr>
        <w:pStyle w:val="ListParagraph"/>
        <w:numPr>
          <w:ilvl w:val="0"/>
          <w:numId w:val="37"/>
        </w:numPr>
        <w:jc w:val="both"/>
        <w:rPr>
          <w:rFonts w:asciiTheme="majorHAnsi" w:hAnsiTheme="majorHAnsi" w:cstheme="majorHAnsi"/>
          <w:color w:val="002060"/>
          <w:lang w:val="en-US"/>
        </w:rPr>
      </w:pPr>
      <w:r w:rsidRPr="007B1872">
        <w:rPr>
          <w:rFonts w:asciiTheme="majorHAnsi" w:hAnsiTheme="majorHAnsi" w:cstheme="majorHAnsi"/>
          <w:color w:val="002060"/>
          <w:lang w:val="en-US"/>
        </w:rPr>
        <w:t xml:space="preserve">Capital Gains Tax is now introduced where a transfer of property which was not initially subject to CGT is subsequently transferred in a taxable transaction within a period of less than 5 years. Capital Gains Tax will be levied and the adjusted cost in the subsequent transfer will be based on the original adjusted cost in the initial </w:t>
      </w:r>
      <w:proofErr w:type="gramStart"/>
      <w:r w:rsidRPr="007B1872">
        <w:rPr>
          <w:rFonts w:asciiTheme="majorHAnsi" w:hAnsiTheme="majorHAnsi" w:cstheme="majorHAnsi"/>
          <w:color w:val="002060"/>
          <w:lang w:val="en-US"/>
        </w:rPr>
        <w:t>transfer;</w:t>
      </w:r>
      <w:proofErr w:type="gramEnd"/>
    </w:p>
    <w:p w14:paraId="3B0AA267" w14:textId="77777777" w:rsidR="007B1872" w:rsidRPr="007B1872" w:rsidRDefault="007B1872" w:rsidP="007B1872">
      <w:pPr>
        <w:pStyle w:val="ListParagraph"/>
        <w:rPr>
          <w:rFonts w:asciiTheme="majorHAnsi" w:hAnsiTheme="majorHAnsi" w:cstheme="majorHAnsi"/>
          <w:color w:val="002060"/>
          <w:lang w:val="en-US"/>
        </w:rPr>
      </w:pPr>
    </w:p>
    <w:p w14:paraId="3B706324" w14:textId="72117B5F" w:rsidR="001202CD" w:rsidRPr="007B1872" w:rsidRDefault="001202CD" w:rsidP="001202CD">
      <w:pPr>
        <w:pStyle w:val="ListParagraph"/>
        <w:numPr>
          <w:ilvl w:val="0"/>
          <w:numId w:val="37"/>
        </w:numPr>
        <w:jc w:val="both"/>
        <w:rPr>
          <w:rFonts w:asciiTheme="majorHAnsi" w:hAnsiTheme="majorHAnsi" w:cstheme="majorHAnsi"/>
          <w:color w:val="002060"/>
          <w:lang w:val="en-US"/>
        </w:rPr>
      </w:pPr>
      <w:r w:rsidRPr="007B1872">
        <w:rPr>
          <w:rFonts w:asciiTheme="majorHAnsi" w:hAnsiTheme="majorHAnsi" w:cstheme="majorHAnsi"/>
          <w:color w:val="002060"/>
          <w:lang w:val="en-US"/>
        </w:rPr>
        <w:t>The due date for CGT payment will be the earlier of receipt of full purchase price by the transferor or registration of the transfer.</w:t>
      </w:r>
    </w:p>
    <w:p w14:paraId="61983A56" w14:textId="77777777" w:rsidR="001202CD" w:rsidRDefault="001202CD" w:rsidP="001202CD">
      <w:pPr>
        <w:jc w:val="both"/>
        <w:rPr>
          <w:rFonts w:asciiTheme="majorHAnsi" w:hAnsiTheme="majorHAnsi" w:cstheme="majorHAnsi"/>
          <w:color w:val="002060"/>
          <w:sz w:val="22"/>
          <w:szCs w:val="22"/>
          <w:lang w:val="en-US"/>
        </w:rPr>
      </w:pPr>
    </w:p>
    <w:p w14:paraId="7C311F93" w14:textId="77777777" w:rsidR="007B1872" w:rsidRPr="001202CD" w:rsidRDefault="007B1872" w:rsidP="001202CD">
      <w:pPr>
        <w:jc w:val="both"/>
        <w:rPr>
          <w:rFonts w:asciiTheme="majorHAnsi" w:hAnsiTheme="majorHAnsi" w:cstheme="majorHAnsi"/>
          <w:color w:val="002060"/>
          <w:sz w:val="22"/>
          <w:szCs w:val="22"/>
          <w:lang w:val="en-US"/>
        </w:rPr>
      </w:pPr>
    </w:p>
    <w:p w14:paraId="2802E26A" w14:textId="77777777" w:rsidR="001202CD" w:rsidRDefault="001202CD" w:rsidP="007B1872">
      <w:pPr>
        <w:rPr>
          <w:rFonts w:asciiTheme="majorHAnsi" w:hAnsiTheme="majorHAnsi" w:cstheme="majorHAnsi"/>
          <w:b/>
          <w:bCs/>
          <w:color w:val="002060"/>
          <w:sz w:val="22"/>
          <w:szCs w:val="22"/>
          <w:u w:val="single"/>
          <w:lang w:val="en-US"/>
        </w:rPr>
      </w:pPr>
      <w:r w:rsidRPr="007B1872">
        <w:rPr>
          <w:rFonts w:asciiTheme="majorHAnsi" w:hAnsiTheme="majorHAnsi" w:cstheme="majorHAnsi"/>
          <w:b/>
          <w:bCs/>
          <w:color w:val="002060"/>
          <w:sz w:val="22"/>
          <w:szCs w:val="22"/>
          <w:u w:val="single"/>
          <w:lang w:val="en-US"/>
        </w:rPr>
        <w:t xml:space="preserve">Thin </w:t>
      </w:r>
      <w:proofErr w:type="spellStart"/>
      <w:r w:rsidRPr="007B1872">
        <w:rPr>
          <w:rFonts w:asciiTheme="majorHAnsi" w:hAnsiTheme="majorHAnsi" w:cstheme="majorHAnsi"/>
          <w:b/>
          <w:bCs/>
          <w:color w:val="002060"/>
          <w:sz w:val="22"/>
          <w:szCs w:val="22"/>
          <w:u w:val="single"/>
          <w:lang w:val="en-US"/>
        </w:rPr>
        <w:t>Capitalisation</w:t>
      </w:r>
      <w:proofErr w:type="spellEnd"/>
      <w:r w:rsidRPr="007B1872">
        <w:rPr>
          <w:rFonts w:asciiTheme="majorHAnsi" w:hAnsiTheme="majorHAnsi" w:cstheme="majorHAnsi"/>
          <w:b/>
          <w:bCs/>
          <w:color w:val="002060"/>
          <w:sz w:val="22"/>
          <w:szCs w:val="22"/>
          <w:u w:val="single"/>
          <w:lang w:val="en-US"/>
        </w:rPr>
        <w:t xml:space="preserve">/Interest Restriction </w:t>
      </w:r>
    </w:p>
    <w:p w14:paraId="16C66541" w14:textId="77777777" w:rsidR="007B1872" w:rsidRPr="007B1872" w:rsidRDefault="007B1872" w:rsidP="007B1872">
      <w:pPr>
        <w:rPr>
          <w:rFonts w:asciiTheme="majorHAnsi" w:hAnsiTheme="majorHAnsi" w:cstheme="majorHAnsi"/>
          <w:b/>
          <w:bCs/>
          <w:color w:val="002060"/>
          <w:sz w:val="22"/>
          <w:szCs w:val="22"/>
          <w:u w:val="single"/>
          <w:lang w:val="en-US"/>
        </w:rPr>
      </w:pPr>
    </w:p>
    <w:p w14:paraId="11B4C8F0" w14:textId="77777777" w:rsidR="001202CD" w:rsidRPr="007B1872" w:rsidRDefault="001202CD" w:rsidP="007B1872">
      <w:pPr>
        <w:pStyle w:val="ListParagraph"/>
        <w:numPr>
          <w:ilvl w:val="0"/>
          <w:numId w:val="38"/>
        </w:numPr>
        <w:jc w:val="both"/>
        <w:rPr>
          <w:rFonts w:asciiTheme="majorHAnsi" w:hAnsiTheme="majorHAnsi" w:cstheme="majorHAnsi"/>
          <w:color w:val="002060"/>
          <w:lang w:val="en-US"/>
        </w:rPr>
      </w:pPr>
      <w:r w:rsidRPr="007B1872">
        <w:rPr>
          <w:rFonts w:asciiTheme="majorHAnsi" w:hAnsiTheme="majorHAnsi" w:cstheme="majorHAnsi"/>
          <w:color w:val="002060"/>
          <w:lang w:val="en-US"/>
        </w:rPr>
        <w:t xml:space="preserve">Interest deductibility is normally capped at 30% of earnings before interest, tax, </w:t>
      </w:r>
      <w:proofErr w:type="gramStart"/>
      <w:r w:rsidRPr="007B1872">
        <w:rPr>
          <w:rFonts w:asciiTheme="majorHAnsi" w:hAnsiTheme="majorHAnsi" w:cstheme="majorHAnsi"/>
          <w:color w:val="002060"/>
          <w:lang w:val="en-US"/>
        </w:rPr>
        <w:t>depreciation</w:t>
      </w:r>
      <w:proofErr w:type="gramEnd"/>
      <w:r w:rsidRPr="007B1872">
        <w:rPr>
          <w:rFonts w:asciiTheme="majorHAnsi" w:hAnsiTheme="majorHAnsi" w:cstheme="majorHAnsi"/>
          <w:color w:val="002060"/>
          <w:lang w:val="en-US"/>
        </w:rPr>
        <w:t xml:space="preserve"> and amortization (EBITDA). Under the amended provisions of the Finance Act 2023, the interest restriction will only apply to interests paid/payable to non-resident individuals and entities involved in financing arrangements. </w:t>
      </w:r>
    </w:p>
    <w:p w14:paraId="5F8D5D27" w14:textId="77777777" w:rsidR="001202CD" w:rsidRPr="001202CD" w:rsidRDefault="001202CD" w:rsidP="001202CD">
      <w:pPr>
        <w:jc w:val="both"/>
        <w:rPr>
          <w:rFonts w:asciiTheme="majorHAnsi" w:hAnsiTheme="majorHAnsi" w:cstheme="majorHAnsi"/>
          <w:color w:val="002060"/>
          <w:sz w:val="22"/>
          <w:szCs w:val="22"/>
          <w:lang w:val="en-US"/>
        </w:rPr>
      </w:pPr>
    </w:p>
    <w:p w14:paraId="4D3B8353" w14:textId="77777777" w:rsidR="001202CD" w:rsidRPr="007B1872" w:rsidRDefault="001202CD" w:rsidP="007B1872">
      <w:pPr>
        <w:pStyle w:val="ListParagraph"/>
        <w:numPr>
          <w:ilvl w:val="0"/>
          <w:numId w:val="38"/>
        </w:numPr>
        <w:jc w:val="both"/>
        <w:rPr>
          <w:rFonts w:asciiTheme="majorHAnsi" w:hAnsiTheme="majorHAnsi" w:cstheme="majorHAnsi"/>
          <w:color w:val="002060"/>
          <w:lang w:val="en-US"/>
        </w:rPr>
      </w:pPr>
      <w:r w:rsidRPr="007B1872">
        <w:rPr>
          <w:rFonts w:asciiTheme="majorHAnsi" w:hAnsiTheme="majorHAnsi" w:cstheme="majorHAnsi"/>
          <w:color w:val="002060"/>
          <w:lang w:val="en-US"/>
        </w:rPr>
        <w:t>Effective as from 1st January 2024, there will no longer be any restriction on deductibility when interests are paid/payable on local borrowings.</w:t>
      </w:r>
    </w:p>
    <w:p w14:paraId="7F29DF0A" w14:textId="77777777" w:rsidR="001202CD" w:rsidRDefault="001202CD" w:rsidP="001202CD">
      <w:pPr>
        <w:jc w:val="both"/>
        <w:rPr>
          <w:rFonts w:asciiTheme="majorHAnsi" w:hAnsiTheme="majorHAnsi" w:cstheme="majorHAnsi"/>
          <w:color w:val="002060"/>
          <w:sz w:val="22"/>
          <w:szCs w:val="22"/>
          <w:lang w:val="en-US"/>
        </w:rPr>
      </w:pPr>
    </w:p>
    <w:p w14:paraId="3E2D6081" w14:textId="77777777" w:rsidR="007B1872" w:rsidRPr="001202CD" w:rsidRDefault="007B1872" w:rsidP="001202CD">
      <w:pPr>
        <w:jc w:val="both"/>
        <w:rPr>
          <w:rFonts w:asciiTheme="majorHAnsi" w:hAnsiTheme="majorHAnsi" w:cstheme="majorHAnsi"/>
          <w:color w:val="002060"/>
          <w:sz w:val="22"/>
          <w:szCs w:val="22"/>
          <w:lang w:val="en-US"/>
        </w:rPr>
      </w:pPr>
    </w:p>
    <w:p w14:paraId="045E8550" w14:textId="77777777" w:rsidR="001202CD" w:rsidRDefault="001202CD" w:rsidP="007B1872">
      <w:pPr>
        <w:rPr>
          <w:rFonts w:asciiTheme="majorHAnsi" w:hAnsiTheme="majorHAnsi" w:cstheme="majorHAnsi"/>
          <w:b/>
          <w:bCs/>
          <w:color w:val="002060"/>
          <w:sz w:val="22"/>
          <w:szCs w:val="22"/>
          <w:u w:val="single"/>
          <w:lang w:val="en-US"/>
        </w:rPr>
      </w:pPr>
      <w:r w:rsidRPr="007B1872">
        <w:rPr>
          <w:rFonts w:asciiTheme="majorHAnsi" w:hAnsiTheme="majorHAnsi" w:cstheme="majorHAnsi"/>
          <w:b/>
          <w:bCs/>
          <w:color w:val="002060"/>
          <w:sz w:val="22"/>
          <w:szCs w:val="22"/>
          <w:u w:val="single"/>
          <w:lang w:val="en-US"/>
        </w:rPr>
        <w:t>Permanent Establishments</w:t>
      </w:r>
    </w:p>
    <w:p w14:paraId="30072BBA" w14:textId="77777777" w:rsidR="007B1872" w:rsidRPr="007B1872" w:rsidRDefault="007B1872" w:rsidP="007B1872">
      <w:pPr>
        <w:rPr>
          <w:rFonts w:asciiTheme="majorHAnsi" w:hAnsiTheme="majorHAnsi" w:cstheme="majorHAnsi"/>
          <w:b/>
          <w:bCs/>
          <w:color w:val="002060"/>
          <w:sz w:val="22"/>
          <w:szCs w:val="22"/>
          <w:u w:val="single"/>
          <w:lang w:val="en-US"/>
        </w:rPr>
      </w:pPr>
    </w:p>
    <w:p w14:paraId="392CF926" w14:textId="77777777" w:rsidR="001202CD" w:rsidRPr="007B1872" w:rsidRDefault="001202CD" w:rsidP="007B1872">
      <w:pPr>
        <w:pStyle w:val="ListParagraph"/>
        <w:numPr>
          <w:ilvl w:val="0"/>
          <w:numId w:val="39"/>
        </w:numPr>
        <w:jc w:val="both"/>
        <w:rPr>
          <w:rFonts w:asciiTheme="majorHAnsi" w:hAnsiTheme="majorHAnsi" w:cstheme="majorHAnsi"/>
          <w:color w:val="002060"/>
          <w:lang w:val="en-US"/>
        </w:rPr>
      </w:pPr>
      <w:r w:rsidRPr="007B1872">
        <w:rPr>
          <w:rFonts w:asciiTheme="majorHAnsi" w:hAnsiTheme="majorHAnsi" w:cstheme="majorHAnsi"/>
          <w:color w:val="002060"/>
          <w:lang w:val="en-US"/>
        </w:rPr>
        <w:t>Under the current rule, profits attributable to a Permanent Establishment in Kenya are taxed at the rate of 37.5%.</w:t>
      </w:r>
    </w:p>
    <w:p w14:paraId="0D5EEB4B" w14:textId="77777777" w:rsidR="001202CD" w:rsidRPr="001202CD" w:rsidRDefault="001202CD" w:rsidP="001202CD">
      <w:pPr>
        <w:jc w:val="both"/>
        <w:rPr>
          <w:rFonts w:asciiTheme="majorHAnsi" w:hAnsiTheme="majorHAnsi" w:cstheme="majorHAnsi"/>
          <w:color w:val="002060"/>
          <w:sz w:val="22"/>
          <w:szCs w:val="22"/>
          <w:lang w:val="en-US"/>
        </w:rPr>
      </w:pPr>
    </w:p>
    <w:p w14:paraId="0D755079" w14:textId="77777777" w:rsidR="001202CD" w:rsidRPr="007B1872" w:rsidRDefault="001202CD" w:rsidP="007B1872">
      <w:pPr>
        <w:pStyle w:val="ListParagraph"/>
        <w:numPr>
          <w:ilvl w:val="0"/>
          <w:numId w:val="39"/>
        </w:numPr>
        <w:jc w:val="both"/>
        <w:rPr>
          <w:rFonts w:asciiTheme="majorHAnsi" w:hAnsiTheme="majorHAnsi" w:cstheme="majorHAnsi"/>
          <w:color w:val="002060"/>
          <w:lang w:val="en-US"/>
        </w:rPr>
      </w:pPr>
      <w:r w:rsidRPr="007B1872">
        <w:rPr>
          <w:rFonts w:asciiTheme="majorHAnsi" w:hAnsiTheme="majorHAnsi" w:cstheme="majorHAnsi"/>
          <w:color w:val="002060"/>
          <w:lang w:val="en-US"/>
        </w:rPr>
        <w:t>Effective as from 1st January 2024, the above corporate tax rate will be reduced to 30% but the Permanent Establishment will also be liable to a tax of 15% on repatriated income.</w:t>
      </w:r>
    </w:p>
    <w:p w14:paraId="2E95C7D8" w14:textId="77777777" w:rsidR="00206F82" w:rsidRDefault="00206F82" w:rsidP="001202CD">
      <w:pPr>
        <w:jc w:val="both"/>
        <w:rPr>
          <w:rFonts w:asciiTheme="majorHAnsi" w:hAnsiTheme="majorHAnsi" w:cstheme="majorHAnsi"/>
          <w:color w:val="002060"/>
          <w:sz w:val="22"/>
          <w:szCs w:val="22"/>
          <w:lang w:val="en-US"/>
        </w:rPr>
      </w:pPr>
    </w:p>
    <w:p w14:paraId="2EEDC11F" w14:textId="77777777" w:rsidR="00206F82" w:rsidRDefault="00206F82" w:rsidP="001202CD">
      <w:pPr>
        <w:jc w:val="both"/>
        <w:rPr>
          <w:rFonts w:asciiTheme="majorHAnsi" w:hAnsiTheme="majorHAnsi" w:cstheme="majorHAnsi"/>
          <w:color w:val="002060"/>
          <w:sz w:val="22"/>
          <w:szCs w:val="22"/>
          <w:lang w:val="en-US"/>
        </w:rPr>
      </w:pPr>
    </w:p>
    <w:p w14:paraId="689CFC95" w14:textId="1253ABAD" w:rsidR="001202CD" w:rsidRDefault="001202CD" w:rsidP="001202CD">
      <w:pPr>
        <w:jc w:val="both"/>
        <w:rPr>
          <w:rFonts w:asciiTheme="majorHAnsi" w:hAnsiTheme="majorHAnsi" w:cstheme="majorHAnsi"/>
          <w:color w:val="002060"/>
          <w:sz w:val="22"/>
          <w:szCs w:val="22"/>
          <w:lang w:val="en-US"/>
        </w:rPr>
      </w:pPr>
      <w:r w:rsidRPr="001202CD">
        <w:rPr>
          <w:rFonts w:asciiTheme="majorHAnsi" w:hAnsiTheme="majorHAnsi" w:cstheme="majorHAnsi"/>
          <w:color w:val="002060"/>
          <w:sz w:val="22"/>
          <w:szCs w:val="22"/>
          <w:lang w:val="en-US"/>
        </w:rPr>
        <w:t xml:space="preserve">Should you require any additional clarification, please do not hesitate to get in touch with our tax advisory team on </w:t>
      </w:r>
      <w:hyperlink r:id="rId10" w:history="1">
        <w:r w:rsidRPr="001202CD">
          <w:rPr>
            <w:rFonts w:asciiTheme="majorHAnsi" w:hAnsiTheme="majorHAnsi" w:cstheme="majorHAnsi"/>
            <w:color w:val="002060"/>
            <w:sz w:val="22"/>
            <w:szCs w:val="22"/>
          </w:rPr>
          <w:t>taxadvisory@dtos-mu.com</w:t>
        </w:r>
      </w:hyperlink>
      <w:r w:rsidRPr="001202CD">
        <w:rPr>
          <w:rFonts w:asciiTheme="majorHAnsi" w:hAnsiTheme="majorHAnsi" w:cstheme="majorHAnsi"/>
          <w:color w:val="002060"/>
          <w:sz w:val="22"/>
          <w:szCs w:val="22"/>
          <w:lang w:val="en-US"/>
        </w:rPr>
        <w:t>.</w:t>
      </w:r>
    </w:p>
    <w:p w14:paraId="63A7D069" w14:textId="77777777" w:rsidR="007B1872" w:rsidRDefault="007B1872" w:rsidP="001202CD">
      <w:pPr>
        <w:jc w:val="both"/>
        <w:rPr>
          <w:rFonts w:asciiTheme="majorHAnsi" w:hAnsiTheme="majorHAnsi" w:cstheme="majorHAnsi"/>
          <w:color w:val="002060"/>
          <w:sz w:val="22"/>
          <w:szCs w:val="22"/>
          <w:lang w:val="en-US"/>
        </w:rPr>
      </w:pPr>
    </w:p>
    <w:p w14:paraId="12F8BC42" w14:textId="77777777" w:rsidR="00B475F3" w:rsidRDefault="00B475F3" w:rsidP="00462082">
      <w:pPr>
        <w:spacing w:after="160"/>
        <w:jc w:val="center"/>
        <w:rPr>
          <w:rFonts w:asciiTheme="majorHAnsi" w:hAnsiTheme="majorHAnsi" w:cstheme="majorHAnsi"/>
          <w:b/>
          <w:bCs/>
          <w:color w:val="002060"/>
          <w:sz w:val="22"/>
          <w:szCs w:val="22"/>
          <w:lang w:val="en-US"/>
        </w:rPr>
      </w:pPr>
    </w:p>
    <w:p w14:paraId="27952F26" w14:textId="77777777" w:rsidR="00756232" w:rsidRDefault="00756232" w:rsidP="00462082">
      <w:pPr>
        <w:spacing w:after="160"/>
        <w:jc w:val="center"/>
        <w:rPr>
          <w:rFonts w:asciiTheme="majorHAnsi" w:hAnsiTheme="majorHAnsi" w:cstheme="majorHAnsi"/>
          <w:b/>
          <w:bCs/>
          <w:color w:val="002060"/>
          <w:sz w:val="22"/>
          <w:szCs w:val="22"/>
          <w:lang w:val="en-US"/>
        </w:rPr>
      </w:pPr>
    </w:p>
    <w:p w14:paraId="70D66714" w14:textId="213E96C7" w:rsidR="00B33C27" w:rsidRPr="009157A7" w:rsidRDefault="004E6EDF" w:rsidP="00462082">
      <w:pPr>
        <w:spacing w:after="160"/>
        <w:jc w:val="center"/>
        <w:rPr>
          <w:rFonts w:asciiTheme="majorHAnsi" w:hAnsiTheme="majorHAnsi" w:cstheme="majorHAnsi"/>
          <w:b/>
          <w:bCs/>
          <w:color w:val="002060"/>
          <w:sz w:val="22"/>
          <w:szCs w:val="22"/>
          <w:lang w:val="en-US"/>
        </w:rPr>
      </w:pPr>
      <w:r>
        <w:rPr>
          <w:rFonts w:asciiTheme="majorHAnsi" w:hAnsiTheme="majorHAnsi" w:cstheme="majorHAnsi"/>
          <w:b/>
          <w:bCs/>
          <w:color w:val="002060"/>
          <w:sz w:val="22"/>
          <w:szCs w:val="22"/>
          <w:lang w:val="en-US"/>
        </w:rPr>
        <w:t>Authors</w:t>
      </w:r>
    </w:p>
    <w:p w14:paraId="2C14E7DE" w14:textId="33DC3F04" w:rsidR="005C5C12" w:rsidRPr="00462082" w:rsidRDefault="005C5C12" w:rsidP="00757CDE">
      <w:pPr>
        <w:spacing w:after="160"/>
        <w:jc w:val="both"/>
        <w:rPr>
          <w:rFonts w:asciiTheme="majorHAnsi" w:hAnsiTheme="majorHAnsi" w:cstheme="majorHAnsi"/>
          <w:b/>
          <w:bCs/>
          <w:color w:val="002060"/>
          <w:sz w:val="22"/>
          <w:szCs w:val="22"/>
          <w:lang w:val="en-US"/>
        </w:rPr>
      </w:pPr>
    </w:p>
    <w:p w14:paraId="7F919CA5" w14:textId="77777777" w:rsidR="002E280F" w:rsidRDefault="002E280F" w:rsidP="00047C40">
      <w:pPr>
        <w:spacing w:after="120"/>
        <w:jc w:val="both"/>
        <w:rPr>
          <w:rFonts w:asciiTheme="majorHAnsi" w:hAnsiTheme="majorHAnsi" w:cstheme="majorHAnsi"/>
          <w:b/>
          <w:bCs/>
          <w:color w:val="002060"/>
          <w:lang w:val="en-US"/>
        </w:rPr>
        <w:sectPr w:rsidR="002E280F" w:rsidSect="002321A2">
          <w:headerReference w:type="default" r:id="rId11"/>
          <w:footerReference w:type="default" r:id="rId12"/>
          <w:type w:val="continuous"/>
          <w:pgSz w:w="11906" w:h="16838" w:code="9"/>
          <w:pgMar w:top="1440" w:right="1440" w:bottom="816" w:left="1440" w:header="0" w:footer="1361" w:gutter="0"/>
          <w:cols w:space="708"/>
          <w:docGrid w:linePitch="360"/>
        </w:sectPr>
      </w:pPr>
    </w:p>
    <w:p w14:paraId="204FE134" w14:textId="77777777" w:rsidR="00FA3658" w:rsidRDefault="00FA3658" w:rsidP="00047C40">
      <w:pPr>
        <w:spacing w:after="120"/>
        <w:jc w:val="both"/>
        <w:rPr>
          <w:rFonts w:asciiTheme="majorHAnsi" w:hAnsiTheme="majorHAnsi" w:cstheme="majorHAnsi"/>
          <w:b/>
          <w:bCs/>
          <w:color w:val="002060"/>
          <w:lang w:val="en-US"/>
        </w:rPr>
      </w:pPr>
    </w:p>
    <w:p w14:paraId="640E3ACB" w14:textId="77777777" w:rsidR="00047C40" w:rsidRDefault="00047C40" w:rsidP="00D63487">
      <w:pPr>
        <w:spacing w:after="160"/>
        <w:jc w:val="both"/>
        <w:rPr>
          <w:rFonts w:asciiTheme="majorHAnsi" w:hAnsiTheme="majorHAnsi" w:cstheme="majorHAnsi"/>
          <w:color w:val="002060"/>
          <w:sz w:val="22"/>
          <w:szCs w:val="22"/>
          <w:lang w:val="en-US"/>
        </w:rPr>
        <w:sectPr w:rsidR="00047C40" w:rsidSect="002321A2">
          <w:type w:val="continuous"/>
          <w:pgSz w:w="11906" w:h="16838" w:code="9"/>
          <w:pgMar w:top="1440" w:right="1440" w:bottom="816" w:left="1440" w:header="0" w:footer="1361" w:gutter="0"/>
          <w:cols w:num="2" w:space="708"/>
          <w:docGrid w:linePitch="360"/>
        </w:sectPr>
      </w:pPr>
    </w:p>
    <w:p w14:paraId="0F375883" w14:textId="7AF59C9F" w:rsidR="00462082" w:rsidRDefault="00C67B2A" w:rsidP="00FD1050">
      <w:pPr>
        <w:spacing w:after="120"/>
        <w:jc w:val="both"/>
        <w:rPr>
          <w:rFonts w:asciiTheme="majorHAnsi" w:hAnsiTheme="majorHAnsi" w:cstheme="majorHAnsi"/>
          <w:b/>
          <w:bCs/>
          <w:color w:val="002060"/>
          <w:lang w:val="en-US"/>
        </w:rPr>
      </w:pPr>
      <w:r>
        <w:rPr>
          <w:rFonts w:asciiTheme="majorHAnsi" w:hAnsiTheme="majorHAnsi" w:cstheme="majorHAnsi"/>
          <w:b/>
          <w:bCs/>
          <w:noProof/>
          <w:color w:val="002060"/>
          <w:lang w:val="en-US"/>
        </w:rPr>
        <w:drawing>
          <wp:anchor distT="0" distB="0" distL="114300" distR="114300" simplePos="0" relativeHeight="251658240" behindDoc="0" locked="0" layoutInCell="1" allowOverlap="1" wp14:anchorId="6D4B1E16" wp14:editId="5FF13A78">
            <wp:simplePos x="0" y="0"/>
            <wp:positionH relativeFrom="column">
              <wp:posOffset>4257040</wp:posOffset>
            </wp:positionH>
            <wp:positionV relativeFrom="paragraph">
              <wp:posOffset>-3175</wp:posOffset>
            </wp:positionV>
            <wp:extent cx="882650" cy="1293495"/>
            <wp:effectExtent l="19050" t="19050" r="12700" b="20955"/>
            <wp:wrapNone/>
            <wp:docPr id="533080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080384" name="Picture 533080384"/>
                    <pic:cNvPicPr/>
                  </pic:nvPicPr>
                  <pic:blipFill rotWithShape="1">
                    <a:blip r:embed="rId13" cstate="print">
                      <a:extLst>
                        <a:ext uri="{28A0092B-C50C-407E-A947-70E740481C1C}">
                          <a14:useLocalDpi xmlns:a14="http://schemas.microsoft.com/office/drawing/2010/main" val="0"/>
                        </a:ext>
                      </a:extLst>
                    </a:blip>
                    <a:srcRect l="27087" r="27433"/>
                    <a:stretch/>
                  </pic:blipFill>
                  <pic:spPr bwMode="auto">
                    <a:xfrm>
                      <a:off x="0" y="0"/>
                      <a:ext cx="882650" cy="1293495"/>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1972">
        <w:rPr>
          <w:rFonts w:asciiTheme="majorHAnsi" w:hAnsiTheme="majorHAnsi" w:cstheme="majorHAnsi"/>
          <w:b/>
          <w:bCs/>
          <w:color w:val="002060"/>
          <w:lang w:val="en-US"/>
        </w:rPr>
        <w:t>Samiirah BAHEMIA (FCCA)</w:t>
      </w:r>
      <w:r w:rsidR="00FD1050" w:rsidRPr="00BB40D9">
        <w:rPr>
          <w:rFonts w:asciiTheme="majorHAnsi" w:hAnsiTheme="majorHAnsi" w:cstheme="majorHAnsi"/>
          <w:b/>
          <w:bCs/>
          <w:color w:val="002060"/>
          <w:lang w:val="en-US"/>
        </w:rPr>
        <w:t xml:space="preserve"> </w:t>
      </w:r>
    </w:p>
    <w:p w14:paraId="1CAB33B6" w14:textId="6ECE49E4" w:rsidR="00FD1050" w:rsidRDefault="00FD1050" w:rsidP="00FD1050">
      <w:pPr>
        <w:spacing w:after="120"/>
        <w:jc w:val="both"/>
        <w:rPr>
          <w:rFonts w:asciiTheme="majorHAnsi" w:hAnsiTheme="majorHAnsi" w:cstheme="majorHAnsi"/>
          <w:b/>
          <w:bCs/>
          <w:color w:val="002060"/>
          <w:lang w:val="en-US"/>
        </w:rPr>
      </w:pPr>
      <w:r>
        <w:rPr>
          <w:rFonts w:asciiTheme="majorHAnsi" w:hAnsiTheme="majorHAnsi" w:cstheme="majorHAnsi"/>
          <w:b/>
          <w:bCs/>
          <w:color w:val="002060"/>
          <w:lang w:val="en-US"/>
        </w:rPr>
        <w:t>Manager</w:t>
      </w:r>
      <w:r w:rsidR="00371972">
        <w:rPr>
          <w:rFonts w:asciiTheme="majorHAnsi" w:hAnsiTheme="majorHAnsi" w:cstheme="majorHAnsi"/>
          <w:b/>
          <w:bCs/>
          <w:color w:val="002060"/>
          <w:lang w:val="en-US"/>
        </w:rPr>
        <w:t xml:space="preserve"> - Tax Advisory Department</w:t>
      </w:r>
    </w:p>
    <w:p w14:paraId="6EEB9EC9" w14:textId="694C8657" w:rsidR="00FD1050" w:rsidRDefault="00FD1050" w:rsidP="00FD1050">
      <w:pPr>
        <w:spacing w:after="120"/>
        <w:jc w:val="both"/>
        <w:rPr>
          <w:rFonts w:asciiTheme="majorHAnsi" w:hAnsiTheme="majorHAnsi" w:cstheme="majorHAnsi"/>
          <w:b/>
          <w:bCs/>
          <w:color w:val="002060"/>
          <w:lang w:val="en-US"/>
        </w:rPr>
      </w:pPr>
    </w:p>
    <w:p w14:paraId="6BEB7D95" w14:textId="754DF05D" w:rsidR="00A77E0C" w:rsidRDefault="00A77E0C" w:rsidP="00FD1050">
      <w:pPr>
        <w:spacing w:after="120"/>
        <w:jc w:val="both"/>
        <w:rPr>
          <w:rFonts w:asciiTheme="majorHAnsi" w:hAnsiTheme="majorHAnsi" w:cstheme="majorHAnsi"/>
          <w:b/>
          <w:bCs/>
          <w:color w:val="002060"/>
          <w:lang w:val="en-US"/>
        </w:rPr>
      </w:pPr>
    </w:p>
    <w:p w14:paraId="0A787C06" w14:textId="669AEC47" w:rsidR="00A77E0C" w:rsidRDefault="00A77E0C" w:rsidP="00FD1050">
      <w:pPr>
        <w:spacing w:after="120"/>
        <w:jc w:val="both"/>
        <w:rPr>
          <w:rFonts w:asciiTheme="majorHAnsi" w:hAnsiTheme="majorHAnsi" w:cstheme="majorHAnsi"/>
          <w:b/>
          <w:bCs/>
          <w:color w:val="002060"/>
          <w:lang w:val="en-US"/>
        </w:rPr>
      </w:pPr>
    </w:p>
    <w:p w14:paraId="26BDAF81" w14:textId="3ED6E55A" w:rsidR="00A77E0C" w:rsidRDefault="00C67B2A" w:rsidP="00FD1050">
      <w:pPr>
        <w:spacing w:after="120"/>
        <w:jc w:val="both"/>
        <w:rPr>
          <w:rFonts w:asciiTheme="majorHAnsi" w:hAnsiTheme="majorHAnsi" w:cstheme="majorHAnsi"/>
          <w:b/>
          <w:bCs/>
          <w:color w:val="002060"/>
          <w:lang w:val="en-US"/>
        </w:rPr>
      </w:pPr>
      <w:r>
        <w:rPr>
          <w:rFonts w:asciiTheme="majorHAnsi" w:hAnsiTheme="majorHAnsi" w:cstheme="majorHAnsi"/>
          <w:noProof/>
          <w:color w:val="002060"/>
          <w:sz w:val="22"/>
          <w:szCs w:val="22"/>
          <w:lang w:val="en-US"/>
        </w:rPr>
        <w:drawing>
          <wp:anchor distT="0" distB="0" distL="114300" distR="114300" simplePos="0" relativeHeight="251660288" behindDoc="0" locked="0" layoutInCell="1" allowOverlap="1" wp14:anchorId="49EEEDE9" wp14:editId="393E9328">
            <wp:simplePos x="0" y="0"/>
            <wp:positionH relativeFrom="column">
              <wp:posOffset>4260215</wp:posOffset>
            </wp:positionH>
            <wp:positionV relativeFrom="paragraph">
              <wp:posOffset>147320</wp:posOffset>
            </wp:positionV>
            <wp:extent cx="882757" cy="1292916"/>
            <wp:effectExtent l="19050" t="19050" r="12700" b="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cstate="print">
                      <a:extLst>
                        <a:ext uri="{28A0092B-C50C-407E-A947-70E740481C1C}">
                          <a14:useLocalDpi xmlns:a14="http://schemas.microsoft.com/office/drawing/2010/main" val="0"/>
                        </a:ext>
                      </a:extLst>
                    </a:blip>
                    <a:srcRect l="24585" r="26875"/>
                    <a:stretch/>
                  </pic:blipFill>
                  <pic:spPr bwMode="auto">
                    <a:xfrm>
                      <a:off x="0" y="0"/>
                      <a:ext cx="882757" cy="1292916"/>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3FC38B" w14:textId="4D2E16EC" w:rsidR="00D16256" w:rsidRPr="00406623" w:rsidRDefault="00D16256" w:rsidP="00D16256">
      <w:pPr>
        <w:spacing w:after="120"/>
        <w:jc w:val="both"/>
        <w:rPr>
          <w:rFonts w:asciiTheme="majorHAnsi" w:hAnsiTheme="majorHAnsi" w:cstheme="majorHAnsi"/>
          <w:b/>
          <w:bCs/>
          <w:color w:val="002060"/>
          <w:lang w:val="en-US"/>
        </w:rPr>
      </w:pPr>
      <w:r w:rsidRPr="00406623">
        <w:rPr>
          <w:rFonts w:asciiTheme="majorHAnsi" w:hAnsiTheme="majorHAnsi" w:cstheme="majorHAnsi"/>
          <w:b/>
          <w:bCs/>
          <w:color w:val="002060"/>
          <w:lang w:val="en-US"/>
        </w:rPr>
        <w:t xml:space="preserve">Mario </w:t>
      </w:r>
      <w:r w:rsidR="00C6240E" w:rsidRPr="00406623">
        <w:rPr>
          <w:rFonts w:asciiTheme="majorHAnsi" w:hAnsiTheme="majorHAnsi" w:cstheme="majorHAnsi"/>
          <w:b/>
          <w:bCs/>
          <w:color w:val="002060"/>
          <w:lang w:val="en-US"/>
        </w:rPr>
        <w:t>HANNELAS</w:t>
      </w:r>
      <w:r w:rsidRPr="00406623">
        <w:rPr>
          <w:rFonts w:asciiTheme="majorHAnsi" w:hAnsiTheme="majorHAnsi" w:cstheme="majorHAnsi"/>
          <w:b/>
          <w:bCs/>
          <w:color w:val="002060"/>
          <w:lang w:val="en-US"/>
        </w:rPr>
        <w:t xml:space="preserve"> (FCCA)</w:t>
      </w:r>
      <w:r w:rsidR="00C6240E" w:rsidRPr="00406623">
        <w:rPr>
          <w:rFonts w:asciiTheme="majorHAnsi" w:hAnsiTheme="majorHAnsi" w:cstheme="majorHAnsi"/>
          <w:b/>
          <w:bCs/>
          <w:color w:val="002060"/>
          <w:lang w:val="en-US"/>
        </w:rPr>
        <w:t xml:space="preserve"> </w:t>
      </w:r>
    </w:p>
    <w:p w14:paraId="113D5875" w14:textId="7B4F2685" w:rsidR="00D16256" w:rsidRDefault="00D16256" w:rsidP="00D16256">
      <w:pPr>
        <w:spacing w:after="120"/>
        <w:jc w:val="both"/>
        <w:rPr>
          <w:rFonts w:asciiTheme="majorHAnsi" w:hAnsiTheme="majorHAnsi" w:cstheme="majorHAnsi"/>
          <w:b/>
          <w:bCs/>
          <w:color w:val="002060"/>
          <w:lang w:val="en-US"/>
        </w:rPr>
      </w:pPr>
      <w:r w:rsidRPr="00C6240E">
        <w:rPr>
          <w:rFonts w:asciiTheme="majorHAnsi" w:hAnsiTheme="majorHAnsi" w:cstheme="majorHAnsi"/>
          <w:b/>
          <w:bCs/>
          <w:color w:val="002060"/>
          <w:lang w:val="en-US"/>
        </w:rPr>
        <w:t>Head of Tax Advisory Department</w:t>
      </w:r>
    </w:p>
    <w:p w14:paraId="4410A7DC" w14:textId="77777777" w:rsidR="00C67B2A" w:rsidRDefault="00C67B2A" w:rsidP="00D16256">
      <w:pPr>
        <w:spacing w:after="120"/>
        <w:jc w:val="both"/>
        <w:rPr>
          <w:rFonts w:asciiTheme="majorHAnsi" w:hAnsiTheme="majorHAnsi" w:cstheme="majorHAnsi"/>
          <w:b/>
          <w:bCs/>
          <w:color w:val="002060"/>
          <w:lang w:val="en-US"/>
        </w:rPr>
      </w:pPr>
    </w:p>
    <w:p w14:paraId="1BEE4521" w14:textId="77777777" w:rsidR="00C67B2A" w:rsidRPr="00C6240E" w:rsidRDefault="00C67B2A" w:rsidP="00D16256">
      <w:pPr>
        <w:spacing w:after="120"/>
        <w:jc w:val="both"/>
        <w:rPr>
          <w:rFonts w:asciiTheme="majorHAnsi" w:hAnsiTheme="majorHAnsi" w:cstheme="majorHAnsi"/>
          <w:b/>
          <w:bCs/>
          <w:color w:val="002060"/>
          <w:lang w:val="en-US"/>
        </w:rPr>
      </w:pPr>
    </w:p>
    <w:p w14:paraId="79773361" w14:textId="7C340021" w:rsidR="00D16256" w:rsidRDefault="00D16256" w:rsidP="00D16256">
      <w:pPr>
        <w:spacing w:after="120"/>
        <w:jc w:val="both"/>
        <w:rPr>
          <w:rFonts w:asciiTheme="majorHAnsi" w:hAnsiTheme="majorHAnsi" w:cstheme="majorHAnsi"/>
          <w:color w:val="002060"/>
          <w:sz w:val="22"/>
          <w:szCs w:val="22"/>
          <w:lang w:val="en-US"/>
        </w:rPr>
      </w:pPr>
    </w:p>
    <w:p w14:paraId="6CFAF6E3" w14:textId="13BC903E" w:rsidR="00D16256" w:rsidRDefault="00C67B2A" w:rsidP="00D16256">
      <w:pPr>
        <w:spacing w:after="120"/>
        <w:jc w:val="both"/>
        <w:rPr>
          <w:rFonts w:asciiTheme="majorHAnsi" w:hAnsiTheme="majorHAnsi" w:cstheme="majorHAnsi"/>
          <w:color w:val="002060"/>
          <w:sz w:val="22"/>
          <w:szCs w:val="22"/>
          <w:lang w:val="en-US"/>
        </w:rPr>
      </w:pPr>
      <w:r>
        <w:rPr>
          <w:rFonts w:asciiTheme="majorHAnsi" w:hAnsiTheme="majorHAnsi" w:cstheme="majorHAnsi"/>
          <w:b/>
          <w:bCs/>
          <w:noProof/>
          <w:color w:val="002060"/>
          <w:lang w:val="en-US"/>
        </w:rPr>
        <w:drawing>
          <wp:anchor distT="0" distB="0" distL="114300" distR="114300" simplePos="0" relativeHeight="251662336" behindDoc="0" locked="0" layoutInCell="1" allowOverlap="1" wp14:anchorId="07781E62" wp14:editId="30A045BE">
            <wp:simplePos x="0" y="0"/>
            <wp:positionH relativeFrom="column">
              <wp:posOffset>4257040</wp:posOffset>
            </wp:positionH>
            <wp:positionV relativeFrom="paragraph">
              <wp:posOffset>55245</wp:posOffset>
            </wp:positionV>
            <wp:extent cx="882595" cy="1302307"/>
            <wp:effectExtent l="19050" t="19050" r="13335" b="12700"/>
            <wp:wrapNone/>
            <wp:docPr id="1768702926" name="Picture 1768702926"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702926" name="Picture 1" descr="A person in a suit&#10;&#10;Description automatically generated"/>
                    <pic:cNvPicPr/>
                  </pic:nvPicPr>
                  <pic:blipFill rotWithShape="1">
                    <a:blip r:embed="rId15" cstate="print">
                      <a:extLst>
                        <a:ext uri="{28A0092B-C50C-407E-A947-70E740481C1C}">
                          <a14:useLocalDpi xmlns:a14="http://schemas.microsoft.com/office/drawing/2010/main" val="0"/>
                        </a:ext>
                      </a:extLst>
                    </a:blip>
                    <a:srcRect l="25805" t="-33" r="29026" b="33"/>
                    <a:stretch/>
                  </pic:blipFill>
                  <pic:spPr bwMode="auto">
                    <a:xfrm>
                      <a:off x="0" y="0"/>
                      <a:ext cx="882595" cy="1302307"/>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DEBB56" w14:textId="1EDD6398" w:rsidR="00C67B2A" w:rsidRPr="00406623" w:rsidRDefault="00442CAE" w:rsidP="00C67B2A">
      <w:pPr>
        <w:spacing w:after="120"/>
        <w:jc w:val="both"/>
        <w:rPr>
          <w:rFonts w:asciiTheme="majorHAnsi" w:hAnsiTheme="majorHAnsi" w:cstheme="majorHAnsi"/>
          <w:b/>
          <w:bCs/>
          <w:color w:val="002060"/>
          <w:lang w:val="en-US"/>
        </w:rPr>
      </w:pPr>
      <w:r>
        <w:rPr>
          <w:rFonts w:asciiTheme="majorHAnsi" w:hAnsiTheme="majorHAnsi" w:cstheme="majorHAnsi"/>
          <w:b/>
          <w:bCs/>
          <w:color w:val="002060"/>
          <w:lang w:val="en-US"/>
        </w:rPr>
        <w:t>Kailash PADARAT</w:t>
      </w:r>
    </w:p>
    <w:p w14:paraId="61C59C7F" w14:textId="4B6B6CE8" w:rsidR="00C67B2A" w:rsidRPr="00C6240E" w:rsidRDefault="001D5227" w:rsidP="00C67B2A">
      <w:pPr>
        <w:spacing w:after="120"/>
        <w:jc w:val="both"/>
        <w:rPr>
          <w:rFonts w:asciiTheme="majorHAnsi" w:hAnsiTheme="majorHAnsi" w:cstheme="majorHAnsi"/>
          <w:b/>
          <w:bCs/>
          <w:color w:val="002060"/>
          <w:lang w:val="en-US"/>
        </w:rPr>
      </w:pPr>
      <w:r>
        <w:rPr>
          <w:rFonts w:asciiTheme="majorHAnsi" w:hAnsiTheme="majorHAnsi" w:cstheme="majorHAnsi"/>
          <w:b/>
          <w:bCs/>
          <w:color w:val="002060"/>
          <w:lang w:val="en-US"/>
        </w:rPr>
        <w:t xml:space="preserve">Manager - </w:t>
      </w:r>
      <w:r w:rsidR="00C67B2A" w:rsidRPr="00C6240E">
        <w:rPr>
          <w:rFonts w:asciiTheme="majorHAnsi" w:hAnsiTheme="majorHAnsi" w:cstheme="majorHAnsi"/>
          <w:b/>
          <w:bCs/>
          <w:color w:val="002060"/>
          <w:lang w:val="en-US"/>
        </w:rPr>
        <w:t>Tax Advisory Department</w:t>
      </w:r>
    </w:p>
    <w:p w14:paraId="72DE5CF8" w14:textId="366D21F5" w:rsidR="00D16256" w:rsidRDefault="00D16256" w:rsidP="00D16256">
      <w:pPr>
        <w:spacing w:after="120"/>
        <w:jc w:val="both"/>
        <w:rPr>
          <w:rFonts w:asciiTheme="majorHAnsi" w:hAnsiTheme="majorHAnsi" w:cstheme="majorHAnsi"/>
          <w:color w:val="002060"/>
          <w:sz w:val="22"/>
          <w:szCs w:val="22"/>
          <w:lang w:val="en-US"/>
        </w:rPr>
      </w:pPr>
    </w:p>
    <w:p w14:paraId="57A195B2" w14:textId="5E3137E7" w:rsidR="00D16256" w:rsidRDefault="00D16256" w:rsidP="00D16256">
      <w:pPr>
        <w:spacing w:after="120"/>
        <w:jc w:val="both"/>
        <w:rPr>
          <w:rFonts w:asciiTheme="majorHAnsi" w:hAnsiTheme="majorHAnsi" w:cstheme="majorHAnsi"/>
          <w:color w:val="002060"/>
          <w:sz w:val="22"/>
          <w:szCs w:val="22"/>
          <w:lang w:val="en-US"/>
        </w:rPr>
      </w:pPr>
    </w:p>
    <w:p w14:paraId="6CF8B463" w14:textId="7DAE133B" w:rsidR="00D16256" w:rsidRDefault="00D16256" w:rsidP="00D16256">
      <w:pPr>
        <w:spacing w:after="120"/>
        <w:jc w:val="both"/>
        <w:rPr>
          <w:rFonts w:asciiTheme="majorHAnsi" w:hAnsiTheme="majorHAnsi" w:cstheme="majorHAnsi"/>
          <w:color w:val="002060"/>
          <w:sz w:val="22"/>
          <w:szCs w:val="22"/>
          <w:lang w:val="en-US"/>
        </w:rPr>
      </w:pPr>
    </w:p>
    <w:p w14:paraId="161C9AE4" w14:textId="585113FC" w:rsidR="00C078DB" w:rsidRDefault="00C078DB" w:rsidP="00D16256">
      <w:pPr>
        <w:spacing w:after="120"/>
        <w:jc w:val="both"/>
        <w:rPr>
          <w:rFonts w:asciiTheme="majorHAnsi" w:hAnsiTheme="majorHAnsi" w:cstheme="majorHAnsi"/>
          <w:color w:val="002060"/>
          <w:sz w:val="22"/>
          <w:szCs w:val="22"/>
          <w:lang w:val="en-US"/>
        </w:rPr>
      </w:pPr>
    </w:p>
    <w:p w14:paraId="3513F392" w14:textId="77777777" w:rsidR="00566D82" w:rsidRDefault="00566D82" w:rsidP="00D16256">
      <w:pPr>
        <w:spacing w:after="120"/>
        <w:jc w:val="both"/>
        <w:rPr>
          <w:rFonts w:asciiTheme="majorHAnsi" w:hAnsiTheme="majorHAnsi" w:cstheme="majorHAnsi"/>
          <w:color w:val="002060"/>
          <w:sz w:val="22"/>
          <w:szCs w:val="22"/>
          <w:lang w:val="en-US"/>
        </w:rPr>
      </w:pPr>
    </w:p>
    <w:p w14:paraId="1C2D3B4B" w14:textId="77777777" w:rsidR="00D16256" w:rsidRDefault="00D16256" w:rsidP="00D16256">
      <w:pPr>
        <w:spacing w:after="120"/>
        <w:jc w:val="center"/>
        <w:rPr>
          <w:rFonts w:asciiTheme="majorHAnsi" w:hAnsiTheme="majorHAnsi" w:cstheme="majorHAnsi"/>
          <w:b/>
          <w:bCs/>
          <w:color w:val="002060"/>
          <w:sz w:val="22"/>
          <w:szCs w:val="22"/>
          <w:lang w:val="en-US"/>
        </w:rPr>
      </w:pPr>
      <w:r w:rsidRPr="009157A7">
        <w:rPr>
          <w:rFonts w:asciiTheme="majorHAnsi" w:hAnsiTheme="majorHAnsi" w:cstheme="majorHAnsi"/>
          <w:b/>
          <w:bCs/>
          <w:color w:val="002060"/>
          <w:sz w:val="22"/>
          <w:szCs w:val="22"/>
          <w:lang w:val="en-US"/>
        </w:rPr>
        <w:t xml:space="preserve">Get in touch with </w:t>
      </w:r>
      <w:proofErr w:type="gramStart"/>
      <w:r w:rsidRPr="009157A7">
        <w:rPr>
          <w:rFonts w:asciiTheme="majorHAnsi" w:hAnsiTheme="majorHAnsi" w:cstheme="majorHAnsi"/>
          <w:b/>
          <w:bCs/>
          <w:color w:val="002060"/>
          <w:sz w:val="22"/>
          <w:szCs w:val="22"/>
          <w:lang w:val="en-US"/>
        </w:rPr>
        <w:t>us</w:t>
      </w:r>
      <w:proofErr w:type="gramEnd"/>
    </w:p>
    <w:p w14:paraId="0E487382" w14:textId="77777777" w:rsidR="00D16256" w:rsidRDefault="00D16256" w:rsidP="00D16256">
      <w:pPr>
        <w:spacing w:after="120"/>
        <w:jc w:val="center"/>
        <w:rPr>
          <w:rFonts w:asciiTheme="majorHAnsi" w:hAnsiTheme="majorHAnsi" w:cstheme="majorHAnsi"/>
          <w:b/>
          <w:bCs/>
          <w:color w:val="002060"/>
          <w:sz w:val="22"/>
          <w:szCs w:val="22"/>
          <w:lang w:val="en-US"/>
        </w:rPr>
      </w:pPr>
    </w:p>
    <w:p w14:paraId="00D8C2C3" w14:textId="77777777" w:rsidR="00C078DB" w:rsidRDefault="00D16256" w:rsidP="00D16256">
      <w:pPr>
        <w:spacing w:after="160"/>
        <w:jc w:val="both"/>
        <w:rPr>
          <w:rFonts w:asciiTheme="majorHAnsi" w:hAnsiTheme="majorHAnsi" w:cstheme="majorHAnsi"/>
          <w:b/>
          <w:bCs/>
          <w:color w:val="002060"/>
          <w:sz w:val="22"/>
          <w:szCs w:val="22"/>
          <w:lang w:val="en-US"/>
        </w:rPr>
      </w:pPr>
      <w:r>
        <w:rPr>
          <w:rFonts w:asciiTheme="majorHAnsi" w:hAnsiTheme="majorHAnsi" w:cstheme="majorHAnsi"/>
          <w:b/>
          <w:bCs/>
          <w:color w:val="002060"/>
          <w:sz w:val="22"/>
          <w:szCs w:val="22"/>
          <w:lang w:val="en-US"/>
        </w:rPr>
        <w:t xml:space="preserve">Timothy Kamau Gicharu, </w:t>
      </w:r>
    </w:p>
    <w:p w14:paraId="0C83EBBE" w14:textId="28F602DE" w:rsidR="00D16256" w:rsidRDefault="009406D7" w:rsidP="00D16256">
      <w:pPr>
        <w:spacing w:after="160"/>
        <w:jc w:val="both"/>
        <w:rPr>
          <w:rFonts w:asciiTheme="majorHAnsi" w:hAnsiTheme="majorHAnsi" w:cstheme="majorHAnsi"/>
          <w:b/>
          <w:bCs/>
          <w:color w:val="002060"/>
          <w:sz w:val="22"/>
          <w:szCs w:val="22"/>
          <w:lang w:val="en-US"/>
        </w:rPr>
      </w:pPr>
      <w:r>
        <w:rPr>
          <w:rFonts w:asciiTheme="majorHAnsi" w:hAnsiTheme="majorHAnsi" w:cstheme="majorHAnsi"/>
          <w:b/>
          <w:bCs/>
          <w:color w:val="002060"/>
          <w:sz w:val="22"/>
          <w:szCs w:val="22"/>
          <w:lang w:val="en-US"/>
        </w:rPr>
        <w:t xml:space="preserve">Regional </w:t>
      </w:r>
      <w:r w:rsidR="00D16256">
        <w:rPr>
          <w:rFonts w:asciiTheme="majorHAnsi" w:hAnsiTheme="majorHAnsi" w:cstheme="majorHAnsi"/>
          <w:b/>
          <w:bCs/>
          <w:color w:val="002060"/>
          <w:sz w:val="22"/>
          <w:szCs w:val="22"/>
          <w:lang w:val="en-US"/>
        </w:rPr>
        <w:t>Business Development Lead</w:t>
      </w:r>
      <w:r w:rsidR="00D16256" w:rsidRPr="009406D7">
        <w:rPr>
          <w:rFonts w:asciiTheme="majorHAnsi" w:hAnsiTheme="majorHAnsi" w:cstheme="majorHAnsi"/>
          <w:b/>
          <w:bCs/>
          <w:noProof/>
          <w:color w:val="002060"/>
          <w:lang w:val="en-GB"/>
        </w:rPr>
        <w:t xml:space="preserve">, </w:t>
      </w:r>
      <w:r w:rsidR="00D16256">
        <w:rPr>
          <w:rFonts w:asciiTheme="majorHAnsi" w:hAnsiTheme="majorHAnsi" w:cstheme="majorHAnsi"/>
          <w:b/>
          <w:bCs/>
          <w:color w:val="002060"/>
          <w:sz w:val="22"/>
          <w:szCs w:val="22"/>
          <w:lang w:val="en-US"/>
        </w:rPr>
        <w:t xml:space="preserve">DTOS </w:t>
      </w:r>
      <w:r w:rsidR="00A77E0C">
        <w:rPr>
          <w:rFonts w:asciiTheme="majorHAnsi" w:hAnsiTheme="majorHAnsi" w:cstheme="majorHAnsi"/>
          <w:b/>
          <w:bCs/>
          <w:color w:val="002060"/>
          <w:sz w:val="22"/>
          <w:szCs w:val="22"/>
          <w:lang w:val="en-US"/>
        </w:rPr>
        <w:t>Kenya</w:t>
      </w:r>
    </w:p>
    <w:p w14:paraId="3BF77D43" w14:textId="782A9134" w:rsidR="00D16256" w:rsidRDefault="00D16256" w:rsidP="00D16256">
      <w:pPr>
        <w:spacing w:after="160"/>
        <w:jc w:val="both"/>
        <w:rPr>
          <w:rFonts w:asciiTheme="majorHAnsi" w:hAnsiTheme="majorHAnsi" w:cstheme="majorHAnsi"/>
          <w:color w:val="002060"/>
          <w:sz w:val="22"/>
          <w:szCs w:val="22"/>
          <w:u w:val="single"/>
          <w:lang w:val="fr-FR"/>
        </w:rPr>
      </w:pPr>
      <w:r w:rsidRPr="00EF3CB0">
        <w:rPr>
          <w:rFonts w:asciiTheme="majorHAnsi" w:hAnsiTheme="majorHAnsi" w:cstheme="majorHAnsi"/>
          <w:color w:val="002060"/>
          <w:sz w:val="22"/>
          <w:szCs w:val="22"/>
          <w:u w:val="single"/>
          <w:lang w:val="fr-FR"/>
        </w:rPr>
        <w:t>T</w:t>
      </w:r>
      <w:r w:rsidR="00A77E0C">
        <w:rPr>
          <w:rFonts w:asciiTheme="majorHAnsi" w:hAnsiTheme="majorHAnsi" w:cstheme="majorHAnsi"/>
          <w:color w:val="002060"/>
          <w:sz w:val="22"/>
          <w:szCs w:val="22"/>
          <w:u w:val="single"/>
          <w:lang w:val="fr-FR"/>
        </w:rPr>
        <w:t>Gicharu</w:t>
      </w:r>
      <w:hyperlink r:id="rId16" w:history="1">
        <w:r w:rsidRPr="00EF3CB0">
          <w:rPr>
            <w:rFonts w:asciiTheme="majorHAnsi" w:hAnsiTheme="majorHAnsi" w:cstheme="majorHAnsi"/>
            <w:color w:val="002060"/>
            <w:sz w:val="22"/>
            <w:szCs w:val="22"/>
            <w:u w:val="single"/>
            <w:lang w:val="fr-FR"/>
          </w:rPr>
          <w:t>@</w:t>
        </w:r>
      </w:hyperlink>
      <w:hyperlink r:id="rId17" w:history="1">
        <w:r w:rsidRPr="00EF3CB0">
          <w:rPr>
            <w:rFonts w:asciiTheme="majorHAnsi" w:hAnsiTheme="majorHAnsi" w:cstheme="majorHAnsi"/>
            <w:color w:val="002060"/>
            <w:sz w:val="22"/>
            <w:szCs w:val="22"/>
            <w:u w:val="single"/>
            <w:lang w:val="fr-FR"/>
          </w:rPr>
          <w:t>d</w:t>
        </w:r>
      </w:hyperlink>
      <w:hyperlink r:id="rId18" w:history="1">
        <w:r w:rsidRPr="00EF3CB0">
          <w:rPr>
            <w:rFonts w:asciiTheme="majorHAnsi" w:hAnsiTheme="majorHAnsi" w:cstheme="majorHAnsi"/>
            <w:color w:val="002060"/>
            <w:sz w:val="22"/>
            <w:szCs w:val="22"/>
            <w:u w:val="single"/>
            <w:lang w:val="fr-FR"/>
          </w:rPr>
          <w:t>to</w:t>
        </w:r>
      </w:hyperlink>
      <w:hyperlink r:id="rId19" w:history="1">
        <w:r w:rsidRPr="00EF3CB0">
          <w:rPr>
            <w:rFonts w:asciiTheme="majorHAnsi" w:hAnsiTheme="majorHAnsi" w:cstheme="majorHAnsi"/>
            <w:color w:val="002060"/>
            <w:sz w:val="22"/>
            <w:szCs w:val="22"/>
            <w:u w:val="single"/>
            <w:lang w:val="fr-FR"/>
          </w:rPr>
          <w:t>s</w:t>
        </w:r>
      </w:hyperlink>
      <w:hyperlink r:id="rId20" w:history="1">
        <w:r w:rsidRPr="00EF3CB0">
          <w:rPr>
            <w:rFonts w:asciiTheme="majorHAnsi" w:hAnsiTheme="majorHAnsi" w:cstheme="majorHAnsi"/>
            <w:color w:val="002060"/>
            <w:sz w:val="22"/>
            <w:szCs w:val="22"/>
            <w:u w:val="single"/>
            <w:lang w:val="fr-FR"/>
          </w:rPr>
          <w:t>-</w:t>
        </w:r>
      </w:hyperlink>
      <w:hyperlink r:id="rId21" w:history="1">
        <w:r w:rsidRPr="00EF3CB0">
          <w:rPr>
            <w:rFonts w:asciiTheme="majorHAnsi" w:hAnsiTheme="majorHAnsi" w:cstheme="majorHAnsi"/>
            <w:color w:val="002060"/>
            <w:sz w:val="22"/>
            <w:szCs w:val="22"/>
            <w:u w:val="single"/>
            <w:lang w:val="fr-FR"/>
          </w:rPr>
          <w:t>mu.</w:t>
        </w:r>
      </w:hyperlink>
      <w:hyperlink r:id="rId22" w:history="1">
        <w:r w:rsidRPr="00EF3CB0">
          <w:rPr>
            <w:rFonts w:asciiTheme="majorHAnsi" w:hAnsiTheme="majorHAnsi" w:cstheme="majorHAnsi"/>
            <w:color w:val="002060"/>
            <w:sz w:val="22"/>
            <w:szCs w:val="22"/>
            <w:u w:val="single"/>
            <w:lang w:val="fr-FR"/>
          </w:rPr>
          <w:t>com</w:t>
        </w:r>
      </w:hyperlink>
      <w:r w:rsidRPr="00EF3CB0">
        <w:rPr>
          <w:rFonts w:asciiTheme="majorHAnsi" w:hAnsiTheme="majorHAnsi" w:cstheme="majorHAnsi"/>
          <w:color w:val="002060"/>
          <w:sz w:val="22"/>
          <w:szCs w:val="22"/>
          <w:u w:val="single"/>
          <w:lang w:val="fr-FR"/>
        </w:rPr>
        <w:t xml:space="preserve"> </w:t>
      </w:r>
    </w:p>
    <w:p w14:paraId="208D57BF" w14:textId="6CE504CC" w:rsidR="00D16256" w:rsidRPr="00566D82" w:rsidRDefault="00D16256" w:rsidP="00D16256">
      <w:pPr>
        <w:spacing w:after="160"/>
        <w:jc w:val="both"/>
        <w:rPr>
          <w:rFonts w:asciiTheme="majorHAnsi" w:hAnsiTheme="majorHAnsi" w:cstheme="majorHAnsi"/>
          <w:color w:val="002060"/>
          <w:lang w:val="en-GB"/>
        </w:rPr>
      </w:pPr>
      <w:r w:rsidRPr="00566D82">
        <w:rPr>
          <w:rFonts w:asciiTheme="majorHAnsi" w:hAnsiTheme="majorHAnsi" w:cstheme="majorHAnsi"/>
          <w:color w:val="002060"/>
          <w:lang w:val="en-GB"/>
        </w:rPr>
        <w:t xml:space="preserve">T: </w:t>
      </w:r>
      <w:r w:rsidR="00C078DB">
        <w:rPr>
          <w:rStyle w:val="ui-provider"/>
        </w:rPr>
        <w:t>+254 736 840 926</w:t>
      </w:r>
    </w:p>
    <w:p w14:paraId="6E04A6E1" w14:textId="77777777" w:rsidR="006B2202" w:rsidRPr="00566D82" w:rsidRDefault="006B2202" w:rsidP="00371972">
      <w:pPr>
        <w:spacing w:after="120"/>
        <w:jc w:val="both"/>
        <w:rPr>
          <w:rFonts w:asciiTheme="majorHAnsi" w:hAnsiTheme="majorHAnsi" w:cstheme="majorHAnsi"/>
          <w:color w:val="002060"/>
          <w:lang w:val="en-GB"/>
        </w:rPr>
      </w:pPr>
    </w:p>
    <w:p w14:paraId="0054B495" w14:textId="77777777" w:rsidR="009406D7" w:rsidRPr="00566D82" w:rsidRDefault="009406D7" w:rsidP="006B2202">
      <w:pPr>
        <w:jc w:val="both"/>
        <w:rPr>
          <w:rFonts w:asciiTheme="majorHAnsi" w:hAnsiTheme="majorHAnsi" w:cstheme="majorHAnsi"/>
          <w:i/>
          <w:iCs/>
          <w:color w:val="002060"/>
          <w:lang w:val="en-GB"/>
        </w:rPr>
      </w:pPr>
    </w:p>
    <w:p w14:paraId="1541CBFC" w14:textId="10C6C8F6" w:rsidR="006B2202" w:rsidRPr="00B87F23" w:rsidRDefault="006B2202" w:rsidP="00B87F23">
      <w:pPr>
        <w:jc w:val="both"/>
        <w:rPr>
          <w:rFonts w:asciiTheme="majorHAnsi" w:hAnsiTheme="majorHAnsi" w:cstheme="majorHAnsi"/>
          <w:i/>
          <w:iCs/>
          <w:color w:val="002060"/>
          <w:sz w:val="22"/>
          <w:szCs w:val="22"/>
          <w:lang w:val="en-US"/>
        </w:rPr>
      </w:pPr>
      <w:r w:rsidRPr="00B87F23">
        <w:rPr>
          <w:rFonts w:asciiTheme="majorHAnsi" w:hAnsiTheme="majorHAnsi" w:cstheme="majorHAnsi"/>
          <w:i/>
          <w:iCs/>
          <w:color w:val="002060"/>
          <w:sz w:val="22"/>
          <w:szCs w:val="22"/>
          <w:lang w:val="en-US"/>
        </w:rPr>
        <w:t>Source: Online Tax Highlights/Alerts</w:t>
      </w:r>
    </w:p>
    <w:sectPr w:rsidR="006B2202" w:rsidRPr="00B87F23" w:rsidSect="002321A2">
      <w:headerReference w:type="default" r:id="rId23"/>
      <w:footerReference w:type="default" r:id="rId24"/>
      <w:type w:val="continuous"/>
      <w:pgSz w:w="11906" w:h="16838" w:code="9"/>
      <w:pgMar w:top="1440" w:right="1440" w:bottom="816" w:left="1440" w:header="0"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EF15" w14:textId="77777777" w:rsidR="002321A2" w:rsidRDefault="002321A2" w:rsidP="002373F5">
      <w:r>
        <w:separator/>
      </w:r>
    </w:p>
  </w:endnote>
  <w:endnote w:type="continuationSeparator" w:id="0">
    <w:p w14:paraId="31AE73A6" w14:textId="77777777" w:rsidR="002321A2" w:rsidRDefault="002321A2" w:rsidP="002373F5">
      <w:r>
        <w:continuationSeparator/>
      </w:r>
    </w:p>
  </w:endnote>
  <w:endnote w:type="continuationNotice" w:id="1">
    <w:p w14:paraId="2881F9CD" w14:textId="77777777" w:rsidR="002321A2" w:rsidRDefault="00232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3055" w14:textId="7F7ABDE9" w:rsidR="00CF7589" w:rsidRPr="00413B95" w:rsidRDefault="004A79DA" w:rsidP="00D56ECB">
    <w:pPr>
      <w:pStyle w:val="Footer"/>
      <w:tabs>
        <w:tab w:val="right" w:pos="4513"/>
      </w:tabs>
      <w:spacing w:line="360" w:lineRule="auto"/>
      <w:ind w:right="-613"/>
      <w:rPr>
        <w:rFonts w:ascii="Georgia" w:hAnsi="Georgia" w:cstheme="majorHAnsi"/>
        <w:sz w:val="18"/>
        <w:szCs w:val="18"/>
        <w:lang w:val="en-US"/>
      </w:rPr>
    </w:pPr>
    <w:r w:rsidRPr="00413B95">
      <w:rPr>
        <w:rFonts w:ascii="Georgia" w:hAnsi="Georgia" w:cstheme="majorHAnsi"/>
        <w:noProof/>
        <w:sz w:val="18"/>
        <w:szCs w:val="18"/>
      </w:rPr>
      <w:drawing>
        <wp:anchor distT="0" distB="0" distL="114300" distR="114300" simplePos="0" relativeHeight="251658241" behindDoc="1" locked="0" layoutInCell="1" allowOverlap="1" wp14:anchorId="2E0DEE7D" wp14:editId="3BB43FF1">
          <wp:simplePos x="0" y="0"/>
          <wp:positionH relativeFrom="column">
            <wp:posOffset>-1055370</wp:posOffset>
          </wp:positionH>
          <wp:positionV relativeFrom="paragraph">
            <wp:posOffset>551815</wp:posOffset>
          </wp:positionV>
          <wp:extent cx="7742555" cy="520700"/>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42555" cy="5207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1CA9" w14:textId="77777777" w:rsidR="00462082" w:rsidRPr="00413B95" w:rsidRDefault="00462082" w:rsidP="00D56ECB">
    <w:pPr>
      <w:pStyle w:val="Footer"/>
      <w:tabs>
        <w:tab w:val="right" w:pos="4513"/>
      </w:tabs>
      <w:spacing w:line="360" w:lineRule="auto"/>
      <w:ind w:right="-613"/>
      <w:rPr>
        <w:rFonts w:ascii="Georgia" w:hAnsi="Georgia" w:cstheme="majorHAnsi"/>
        <w:sz w:val="18"/>
        <w:szCs w:val="18"/>
        <w:lang w:val="en-US"/>
      </w:rPr>
    </w:pPr>
    <w:r w:rsidRPr="00413B95">
      <w:rPr>
        <w:rFonts w:ascii="Georgia" w:hAnsi="Georgia" w:cstheme="majorHAnsi"/>
        <w:noProof/>
        <w:sz w:val="18"/>
        <w:szCs w:val="18"/>
      </w:rPr>
      <w:drawing>
        <wp:anchor distT="0" distB="0" distL="114300" distR="114300" simplePos="0" relativeHeight="251658243" behindDoc="1" locked="0" layoutInCell="1" allowOverlap="1" wp14:anchorId="45A4679E" wp14:editId="4F27E43A">
          <wp:simplePos x="0" y="0"/>
          <wp:positionH relativeFrom="column">
            <wp:posOffset>-1055370</wp:posOffset>
          </wp:positionH>
          <wp:positionV relativeFrom="paragraph">
            <wp:posOffset>551815</wp:posOffset>
          </wp:positionV>
          <wp:extent cx="7742555" cy="520700"/>
          <wp:effectExtent l="0" t="0" r="4445" b="0"/>
          <wp:wrapNone/>
          <wp:docPr id="472227994" name="Picture 47222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42555" cy="520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AD0D" w14:textId="77777777" w:rsidR="002321A2" w:rsidRDefault="002321A2" w:rsidP="002373F5">
      <w:r>
        <w:separator/>
      </w:r>
    </w:p>
  </w:footnote>
  <w:footnote w:type="continuationSeparator" w:id="0">
    <w:p w14:paraId="6A4A6DEE" w14:textId="77777777" w:rsidR="002321A2" w:rsidRDefault="002321A2" w:rsidP="002373F5">
      <w:r>
        <w:continuationSeparator/>
      </w:r>
    </w:p>
  </w:footnote>
  <w:footnote w:type="continuationNotice" w:id="1">
    <w:p w14:paraId="6F0701C8" w14:textId="77777777" w:rsidR="002321A2" w:rsidRDefault="002321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7A22" w14:textId="15ACC54B" w:rsidR="002373F5" w:rsidRDefault="002373F5">
    <w:pPr>
      <w:pStyle w:val="Header"/>
    </w:pPr>
    <w:r>
      <w:rPr>
        <w:noProof/>
      </w:rPr>
      <w:drawing>
        <wp:anchor distT="0" distB="0" distL="114300" distR="114300" simplePos="0" relativeHeight="251658240" behindDoc="1" locked="0" layoutInCell="1" allowOverlap="1" wp14:anchorId="419AE257" wp14:editId="5971C984">
          <wp:simplePos x="0" y="0"/>
          <wp:positionH relativeFrom="column">
            <wp:posOffset>-952500</wp:posOffset>
          </wp:positionH>
          <wp:positionV relativeFrom="paragraph">
            <wp:posOffset>-76200</wp:posOffset>
          </wp:positionV>
          <wp:extent cx="7640320" cy="1878965"/>
          <wp:effectExtent l="0" t="0" r="5080" b="0"/>
          <wp:wrapTight wrapText="bothSides">
            <wp:wrapPolygon edited="0">
              <wp:start x="0" y="0"/>
              <wp:lineTo x="0" y="15038"/>
              <wp:lineTo x="1041" y="16351"/>
              <wp:lineTo x="1041" y="19125"/>
              <wp:lineTo x="1400" y="19125"/>
              <wp:lineTo x="1436" y="18833"/>
              <wp:lineTo x="5027" y="16497"/>
              <wp:lineTo x="5852" y="16351"/>
              <wp:lineTo x="6714" y="15184"/>
              <wp:lineTo x="6678" y="11680"/>
              <wp:lineTo x="21578" y="10366"/>
              <wp:lineTo x="2157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rcRect l="509" r="509"/>
                  <a:stretch>
                    <a:fillRect/>
                  </a:stretch>
                </pic:blipFill>
                <pic:spPr bwMode="auto">
                  <a:xfrm>
                    <a:off x="0" y="0"/>
                    <a:ext cx="7640320" cy="187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467C59" w14:textId="0A0FA800" w:rsidR="002373F5" w:rsidRDefault="00237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0902" w14:textId="77777777" w:rsidR="00462082" w:rsidRDefault="00462082">
    <w:pPr>
      <w:pStyle w:val="Header"/>
    </w:pPr>
    <w:r>
      <w:rPr>
        <w:noProof/>
      </w:rPr>
      <w:drawing>
        <wp:anchor distT="0" distB="0" distL="114300" distR="114300" simplePos="0" relativeHeight="251658242" behindDoc="1" locked="0" layoutInCell="1" allowOverlap="1" wp14:anchorId="53BFDD06" wp14:editId="028F11A4">
          <wp:simplePos x="0" y="0"/>
          <wp:positionH relativeFrom="column">
            <wp:posOffset>-952500</wp:posOffset>
          </wp:positionH>
          <wp:positionV relativeFrom="paragraph">
            <wp:posOffset>-76200</wp:posOffset>
          </wp:positionV>
          <wp:extent cx="7640320" cy="1878965"/>
          <wp:effectExtent l="0" t="0" r="5080" b="0"/>
          <wp:wrapTight wrapText="bothSides">
            <wp:wrapPolygon edited="0">
              <wp:start x="0" y="0"/>
              <wp:lineTo x="0" y="15038"/>
              <wp:lineTo x="1041" y="16351"/>
              <wp:lineTo x="1041" y="19125"/>
              <wp:lineTo x="1400" y="19125"/>
              <wp:lineTo x="1436" y="18833"/>
              <wp:lineTo x="5027" y="16497"/>
              <wp:lineTo x="5852" y="16351"/>
              <wp:lineTo x="6714" y="15184"/>
              <wp:lineTo x="6678" y="11680"/>
              <wp:lineTo x="21578" y="10366"/>
              <wp:lineTo x="21578" y="0"/>
              <wp:lineTo x="0" y="0"/>
            </wp:wrapPolygon>
          </wp:wrapTight>
          <wp:docPr id="1840683257" name="Picture 184068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rcRect l="509" r="509"/>
                  <a:stretch>
                    <a:fillRect/>
                  </a:stretch>
                </pic:blipFill>
                <pic:spPr bwMode="auto">
                  <a:xfrm>
                    <a:off x="0" y="0"/>
                    <a:ext cx="7640320" cy="187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2F7277" w14:textId="77777777" w:rsidR="00462082" w:rsidRDefault="00462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4D3"/>
    <w:multiLevelType w:val="hybridMultilevel"/>
    <w:tmpl w:val="692C2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224C0"/>
    <w:multiLevelType w:val="hybridMultilevel"/>
    <w:tmpl w:val="261C6D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1D294A"/>
    <w:multiLevelType w:val="hybridMultilevel"/>
    <w:tmpl w:val="8304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274A"/>
    <w:multiLevelType w:val="multilevel"/>
    <w:tmpl w:val="FCF6E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E043EE4"/>
    <w:multiLevelType w:val="hybridMultilevel"/>
    <w:tmpl w:val="FE6E63FC"/>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 w15:restartNumberingAfterBreak="0">
    <w:nsid w:val="23484C89"/>
    <w:multiLevelType w:val="hybridMultilevel"/>
    <w:tmpl w:val="C082E1E0"/>
    <w:lvl w:ilvl="0" w:tplc="2000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1314CD"/>
    <w:multiLevelType w:val="multilevel"/>
    <w:tmpl w:val="45CAD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995D6D"/>
    <w:multiLevelType w:val="hybridMultilevel"/>
    <w:tmpl w:val="D1540B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D0F41F0"/>
    <w:multiLevelType w:val="hybridMultilevel"/>
    <w:tmpl w:val="4A700448"/>
    <w:lvl w:ilvl="0" w:tplc="CAF845F2">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1F3C39"/>
    <w:multiLevelType w:val="hybridMultilevel"/>
    <w:tmpl w:val="4CD4CD82"/>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DB94072"/>
    <w:multiLevelType w:val="hybridMultilevel"/>
    <w:tmpl w:val="3566165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F255544"/>
    <w:multiLevelType w:val="hybridMultilevel"/>
    <w:tmpl w:val="D2C46A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7A273E0"/>
    <w:multiLevelType w:val="hybridMultilevel"/>
    <w:tmpl w:val="2F84561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9AD4EEC"/>
    <w:multiLevelType w:val="hybridMultilevel"/>
    <w:tmpl w:val="FDEA9F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14076EC"/>
    <w:multiLevelType w:val="hybridMultilevel"/>
    <w:tmpl w:val="347866D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15:restartNumberingAfterBreak="0">
    <w:nsid w:val="45FE51BC"/>
    <w:multiLevelType w:val="hybridMultilevel"/>
    <w:tmpl w:val="B25E74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71003D3"/>
    <w:multiLevelType w:val="hybridMultilevel"/>
    <w:tmpl w:val="E138CFC2"/>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7" w15:restartNumberingAfterBreak="0">
    <w:nsid w:val="481A5308"/>
    <w:multiLevelType w:val="hybridMultilevel"/>
    <w:tmpl w:val="5C50D460"/>
    <w:lvl w:ilvl="0" w:tplc="6BAC263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BB06996"/>
    <w:multiLevelType w:val="hybridMultilevel"/>
    <w:tmpl w:val="D71CF5E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10E4FF8"/>
    <w:multiLevelType w:val="hybridMultilevel"/>
    <w:tmpl w:val="44C49F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4922924"/>
    <w:multiLevelType w:val="hybridMultilevel"/>
    <w:tmpl w:val="F1C46E32"/>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1" w15:restartNumberingAfterBreak="0">
    <w:nsid w:val="59945EB3"/>
    <w:multiLevelType w:val="hybridMultilevel"/>
    <w:tmpl w:val="8F5C365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B981E8B"/>
    <w:multiLevelType w:val="hybridMultilevel"/>
    <w:tmpl w:val="C7BCEB5E"/>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5F0A3B36"/>
    <w:multiLevelType w:val="hybridMultilevel"/>
    <w:tmpl w:val="A53680E2"/>
    <w:lvl w:ilvl="0" w:tplc="4C09001B">
      <w:start w:val="1"/>
      <w:numFmt w:val="lowerRoman"/>
      <w:lvlText w:val="%1."/>
      <w:lvlJc w:val="right"/>
      <w:pPr>
        <w:ind w:left="1080" w:hanging="360"/>
      </w:pPr>
    </w:lvl>
    <w:lvl w:ilvl="1" w:tplc="4C090019" w:tentative="1">
      <w:start w:val="1"/>
      <w:numFmt w:val="lowerLetter"/>
      <w:lvlText w:val="%2."/>
      <w:lvlJc w:val="left"/>
      <w:pPr>
        <w:ind w:left="1800" w:hanging="360"/>
      </w:pPr>
    </w:lvl>
    <w:lvl w:ilvl="2" w:tplc="4C09001B" w:tentative="1">
      <w:start w:val="1"/>
      <w:numFmt w:val="lowerRoman"/>
      <w:lvlText w:val="%3."/>
      <w:lvlJc w:val="right"/>
      <w:pPr>
        <w:ind w:left="2520" w:hanging="180"/>
      </w:pPr>
    </w:lvl>
    <w:lvl w:ilvl="3" w:tplc="4C09000F" w:tentative="1">
      <w:start w:val="1"/>
      <w:numFmt w:val="decimal"/>
      <w:lvlText w:val="%4."/>
      <w:lvlJc w:val="left"/>
      <w:pPr>
        <w:ind w:left="3240" w:hanging="360"/>
      </w:pPr>
    </w:lvl>
    <w:lvl w:ilvl="4" w:tplc="4C090019" w:tentative="1">
      <w:start w:val="1"/>
      <w:numFmt w:val="lowerLetter"/>
      <w:lvlText w:val="%5."/>
      <w:lvlJc w:val="left"/>
      <w:pPr>
        <w:ind w:left="3960" w:hanging="360"/>
      </w:pPr>
    </w:lvl>
    <w:lvl w:ilvl="5" w:tplc="4C09001B" w:tentative="1">
      <w:start w:val="1"/>
      <w:numFmt w:val="lowerRoman"/>
      <w:lvlText w:val="%6."/>
      <w:lvlJc w:val="right"/>
      <w:pPr>
        <w:ind w:left="4680" w:hanging="180"/>
      </w:pPr>
    </w:lvl>
    <w:lvl w:ilvl="6" w:tplc="4C09000F" w:tentative="1">
      <w:start w:val="1"/>
      <w:numFmt w:val="decimal"/>
      <w:lvlText w:val="%7."/>
      <w:lvlJc w:val="left"/>
      <w:pPr>
        <w:ind w:left="5400" w:hanging="360"/>
      </w:pPr>
    </w:lvl>
    <w:lvl w:ilvl="7" w:tplc="4C090019" w:tentative="1">
      <w:start w:val="1"/>
      <w:numFmt w:val="lowerLetter"/>
      <w:lvlText w:val="%8."/>
      <w:lvlJc w:val="left"/>
      <w:pPr>
        <w:ind w:left="6120" w:hanging="360"/>
      </w:pPr>
    </w:lvl>
    <w:lvl w:ilvl="8" w:tplc="4C09001B" w:tentative="1">
      <w:start w:val="1"/>
      <w:numFmt w:val="lowerRoman"/>
      <w:lvlText w:val="%9."/>
      <w:lvlJc w:val="right"/>
      <w:pPr>
        <w:ind w:left="6840" w:hanging="180"/>
      </w:pPr>
    </w:lvl>
  </w:abstractNum>
  <w:abstractNum w:abstractNumId="24" w15:restartNumberingAfterBreak="0">
    <w:nsid w:val="66FF0D34"/>
    <w:multiLevelType w:val="hybridMultilevel"/>
    <w:tmpl w:val="5D366B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25223E"/>
    <w:multiLevelType w:val="hybridMultilevel"/>
    <w:tmpl w:val="8DBC0B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9093EE9"/>
    <w:multiLevelType w:val="hybridMultilevel"/>
    <w:tmpl w:val="18140B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EFD2A18"/>
    <w:multiLevelType w:val="hybridMultilevel"/>
    <w:tmpl w:val="B9F6C7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0B386E"/>
    <w:multiLevelType w:val="hybridMultilevel"/>
    <w:tmpl w:val="294EFB0C"/>
    <w:lvl w:ilvl="0" w:tplc="2000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040695"/>
    <w:multiLevelType w:val="hybridMultilevel"/>
    <w:tmpl w:val="7D080A9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2323A39"/>
    <w:multiLevelType w:val="hybridMultilevel"/>
    <w:tmpl w:val="441C4A92"/>
    <w:lvl w:ilvl="0" w:tplc="EB2E000E">
      <w:start w:val="1"/>
      <w:numFmt w:val="lowerRoman"/>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7B2834"/>
    <w:multiLevelType w:val="hybridMultilevel"/>
    <w:tmpl w:val="DCFAE55C"/>
    <w:lvl w:ilvl="0" w:tplc="20000013">
      <w:start w:val="1"/>
      <w:numFmt w:val="upperRoman"/>
      <w:lvlText w:val="%1."/>
      <w:lvlJc w:val="right"/>
      <w:pPr>
        <w:ind w:left="1080" w:hanging="360"/>
      </w:p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2" w15:restartNumberingAfterBreak="0">
    <w:nsid w:val="72C54B93"/>
    <w:multiLevelType w:val="hybridMultilevel"/>
    <w:tmpl w:val="CBACFCA8"/>
    <w:lvl w:ilvl="0" w:tplc="CAF84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066F5"/>
    <w:multiLevelType w:val="hybridMultilevel"/>
    <w:tmpl w:val="F5E2933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4DF6567"/>
    <w:multiLevelType w:val="hybridMultilevel"/>
    <w:tmpl w:val="7FC65ABE"/>
    <w:lvl w:ilvl="0" w:tplc="EB2E000E">
      <w:start w:val="1"/>
      <w:numFmt w:val="lowerRoman"/>
      <w:lvlText w:val="(%1)"/>
      <w:lvlJc w:val="left"/>
      <w:pPr>
        <w:ind w:left="1080" w:hanging="72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76B27AF"/>
    <w:multiLevelType w:val="hybridMultilevel"/>
    <w:tmpl w:val="3FCE51CE"/>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6" w15:restartNumberingAfterBreak="0">
    <w:nsid w:val="7A863BF3"/>
    <w:multiLevelType w:val="hybridMultilevel"/>
    <w:tmpl w:val="14BCEA7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B814EEA"/>
    <w:multiLevelType w:val="hybridMultilevel"/>
    <w:tmpl w:val="731C529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EBE0CB6"/>
    <w:multiLevelType w:val="hybridMultilevel"/>
    <w:tmpl w:val="3B2436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99564678">
    <w:abstractNumId w:val="24"/>
  </w:num>
  <w:num w:numId="2" w16cid:durableId="2018999285">
    <w:abstractNumId w:val="27"/>
  </w:num>
  <w:num w:numId="3" w16cid:durableId="1425607921">
    <w:abstractNumId w:val="13"/>
  </w:num>
  <w:num w:numId="4" w16cid:durableId="2115202276">
    <w:abstractNumId w:val="14"/>
  </w:num>
  <w:num w:numId="5" w16cid:durableId="1841576192">
    <w:abstractNumId w:val="2"/>
  </w:num>
  <w:num w:numId="6" w16cid:durableId="2136174393">
    <w:abstractNumId w:val="11"/>
  </w:num>
  <w:num w:numId="7" w16cid:durableId="363098293">
    <w:abstractNumId w:val="6"/>
  </w:num>
  <w:num w:numId="8" w16cid:durableId="1560438173">
    <w:abstractNumId w:val="1"/>
  </w:num>
  <w:num w:numId="9" w16cid:durableId="1641153311">
    <w:abstractNumId w:val="0"/>
  </w:num>
  <w:num w:numId="10" w16cid:durableId="624387518">
    <w:abstractNumId w:val="32"/>
  </w:num>
  <w:num w:numId="11" w16cid:durableId="1689678015">
    <w:abstractNumId w:val="8"/>
  </w:num>
  <w:num w:numId="12" w16cid:durableId="1645506411">
    <w:abstractNumId w:val="17"/>
  </w:num>
  <w:num w:numId="13" w16cid:durableId="2066830007">
    <w:abstractNumId w:val="4"/>
  </w:num>
  <w:num w:numId="14" w16cid:durableId="166406569">
    <w:abstractNumId w:val="16"/>
  </w:num>
  <w:num w:numId="15" w16cid:durableId="2075546483">
    <w:abstractNumId w:val="23"/>
  </w:num>
  <w:num w:numId="16" w16cid:durableId="462969770">
    <w:abstractNumId w:val="20"/>
  </w:num>
  <w:num w:numId="17" w16cid:durableId="1609388301">
    <w:abstractNumId w:val="12"/>
  </w:num>
  <w:num w:numId="18" w16cid:durableId="1135099208">
    <w:abstractNumId w:val="15"/>
  </w:num>
  <w:num w:numId="19" w16cid:durableId="938490990">
    <w:abstractNumId w:val="29"/>
  </w:num>
  <w:num w:numId="20" w16cid:durableId="276180922">
    <w:abstractNumId w:val="33"/>
  </w:num>
  <w:num w:numId="21" w16cid:durableId="1944412592">
    <w:abstractNumId w:val="5"/>
  </w:num>
  <w:num w:numId="22" w16cid:durableId="424963690">
    <w:abstractNumId w:val="28"/>
  </w:num>
  <w:num w:numId="23" w16cid:durableId="549531926">
    <w:abstractNumId w:val="22"/>
  </w:num>
  <w:num w:numId="24" w16cid:durableId="395786844">
    <w:abstractNumId w:val="19"/>
  </w:num>
  <w:num w:numId="25" w16cid:durableId="1962228615">
    <w:abstractNumId w:val="35"/>
  </w:num>
  <w:num w:numId="26" w16cid:durableId="1931280953">
    <w:abstractNumId w:val="31"/>
  </w:num>
  <w:num w:numId="27" w16cid:durableId="1417432973">
    <w:abstractNumId w:val="9"/>
  </w:num>
  <w:num w:numId="28" w16cid:durableId="2001883401">
    <w:abstractNumId w:val="3"/>
  </w:num>
  <w:num w:numId="29" w16cid:durableId="607926762">
    <w:abstractNumId w:val="10"/>
  </w:num>
  <w:num w:numId="30" w16cid:durableId="1117410178">
    <w:abstractNumId w:val="34"/>
  </w:num>
  <w:num w:numId="31" w16cid:durableId="1249189800">
    <w:abstractNumId w:val="30"/>
  </w:num>
  <w:num w:numId="32" w16cid:durableId="1634403029">
    <w:abstractNumId w:val="18"/>
  </w:num>
  <w:num w:numId="33" w16cid:durableId="1305503166">
    <w:abstractNumId w:val="36"/>
  </w:num>
  <w:num w:numId="34" w16cid:durableId="1097096374">
    <w:abstractNumId w:val="37"/>
  </w:num>
  <w:num w:numId="35" w16cid:durableId="472524003">
    <w:abstractNumId w:val="21"/>
  </w:num>
  <w:num w:numId="36" w16cid:durableId="2035840569">
    <w:abstractNumId w:val="7"/>
  </w:num>
  <w:num w:numId="37" w16cid:durableId="1335650717">
    <w:abstractNumId w:val="26"/>
  </w:num>
  <w:num w:numId="38" w16cid:durableId="1398674803">
    <w:abstractNumId w:val="38"/>
  </w:num>
  <w:num w:numId="39" w16cid:durableId="547461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72"/>
    <w:rsid w:val="0001710D"/>
    <w:rsid w:val="00027A62"/>
    <w:rsid w:val="00040E6B"/>
    <w:rsid w:val="0004655B"/>
    <w:rsid w:val="00047C40"/>
    <w:rsid w:val="000653E7"/>
    <w:rsid w:val="00083F65"/>
    <w:rsid w:val="00087404"/>
    <w:rsid w:val="00094C87"/>
    <w:rsid w:val="000952F2"/>
    <w:rsid w:val="000A17E2"/>
    <w:rsid w:val="000B1FCF"/>
    <w:rsid w:val="000C7022"/>
    <w:rsid w:val="000F62BB"/>
    <w:rsid w:val="00110644"/>
    <w:rsid w:val="001202CD"/>
    <w:rsid w:val="0013055E"/>
    <w:rsid w:val="001338DB"/>
    <w:rsid w:val="001443EE"/>
    <w:rsid w:val="0015166E"/>
    <w:rsid w:val="00154EE8"/>
    <w:rsid w:val="001666FD"/>
    <w:rsid w:val="001932E9"/>
    <w:rsid w:val="001A7412"/>
    <w:rsid w:val="001B11D6"/>
    <w:rsid w:val="001B7C4D"/>
    <w:rsid w:val="001C67CC"/>
    <w:rsid w:val="001D5227"/>
    <w:rsid w:val="001E5134"/>
    <w:rsid w:val="001F0FC5"/>
    <w:rsid w:val="001F59ED"/>
    <w:rsid w:val="001F719F"/>
    <w:rsid w:val="0020209B"/>
    <w:rsid w:val="00204633"/>
    <w:rsid w:val="00206F82"/>
    <w:rsid w:val="00213465"/>
    <w:rsid w:val="002161E2"/>
    <w:rsid w:val="002321A2"/>
    <w:rsid w:val="002373F5"/>
    <w:rsid w:val="00244086"/>
    <w:rsid w:val="00256F6F"/>
    <w:rsid w:val="002636ED"/>
    <w:rsid w:val="002658C9"/>
    <w:rsid w:val="0027518D"/>
    <w:rsid w:val="00291328"/>
    <w:rsid w:val="0029725F"/>
    <w:rsid w:val="002A3580"/>
    <w:rsid w:val="002A7688"/>
    <w:rsid w:val="002B0472"/>
    <w:rsid w:val="002B203C"/>
    <w:rsid w:val="002B5236"/>
    <w:rsid w:val="002B6570"/>
    <w:rsid w:val="002C0818"/>
    <w:rsid w:val="002C2893"/>
    <w:rsid w:val="002C7C57"/>
    <w:rsid w:val="002E280F"/>
    <w:rsid w:val="002E4E49"/>
    <w:rsid w:val="002F2113"/>
    <w:rsid w:val="0031284E"/>
    <w:rsid w:val="0031573E"/>
    <w:rsid w:val="003267C5"/>
    <w:rsid w:val="00331A66"/>
    <w:rsid w:val="00331DD7"/>
    <w:rsid w:val="00347119"/>
    <w:rsid w:val="00366FB5"/>
    <w:rsid w:val="00371972"/>
    <w:rsid w:val="00376DEC"/>
    <w:rsid w:val="003A6370"/>
    <w:rsid w:val="003B379E"/>
    <w:rsid w:val="003C105A"/>
    <w:rsid w:val="003D1305"/>
    <w:rsid w:val="0040376C"/>
    <w:rsid w:val="00406623"/>
    <w:rsid w:val="00413B95"/>
    <w:rsid w:val="00415717"/>
    <w:rsid w:val="004317EB"/>
    <w:rsid w:val="00431B48"/>
    <w:rsid w:val="00442CAE"/>
    <w:rsid w:val="00444E34"/>
    <w:rsid w:val="00462082"/>
    <w:rsid w:val="0046677E"/>
    <w:rsid w:val="004818C8"/>
    <w:rsid w:val="00482245"/>
    <w:rsid w:val="004917B1"/>
    <w:rsid w:val="004A79DA"/>
    <w:rsid w:val="004C0E89"/>
    <w:rsid w:val="004E6EDF"/>
    <w:rsid w:val="004E75D1"/>
    <w:rsid w:val="004E76E7"/>
    <w:rsid w:val="004F3E72"/>
    <w:rsid w:val="005142A0"/>
    <w:rsid w:val="00514F06"/>
    <w:rsid w:val="00532780"/>
    <w:rsid w:val="005504A6"/>
    <w:rsid w:val="00554315"/>
    <w:rsid w:val="005575F0"/>
    <w:rsid w:val="00564E88"/>
    <w:rsid w:val="00566D82"/>
    <w:rsid w:val="00567F6F"/>
    <w:rsid w:val="005952AA"/>
    <w:rsid w:val="005A4863"/>
    <w:rsid w:val="005C534D"/>
    <w:rsid w:val="005C5C12"/>
    <w:rsid w:val="005C6295"/>
    <w:rsid w:val="005D2EF6"/>
    <w:rsid w:val="00607983"/>
    <w:rsid w:val="006177F7"/>
    <w:rsid w:val="006210D2"/>
    <w:rsid w:val="00626661"/>
    <w:rsid w:val="0063072F"/>
    <w:rsid w:val="00630B76"/>
    <w:rsid w:val="00643E70"/>
    <w:rsid w:val="006625C5"/>
    <w:rsid w:val="0067373E"/>
    <w:rsid w:val="006A6430"/>
    <w:rsid w:val="006B2202"/>
    <w:rsid w:val="006E1F5D"/>
    <w:rsid w:val="006F34E3"/>
    <w:rsid w:val="00712287"/>
    <w:rsid w:val="00713B05"/>
    <w:rsid w:val="007315E1"/>
    <w:rsid w:val="00756232"/>
    <w:rsid w:val="00757CDE"/>
    <w:rsid w:val="00765402"/>
    <w:rsid w:val="00774CB7"/>
    <w:rsid w:val="00776874"/>
    <w:rsid w:val="007B1872"/>
    <w:rsid w:val="007C080D"/>
    <w:rsid w:val="007C7D60"/>
    <w:rsid w:val="007D2E64"/>
    <w:rsid w:val="007D6039"/>
    <w:rsid w:val="007E7A96"/>
    <w:rsid w:val="007F548A"/>
    <w:rsid w:val="00803D00"/>
    <w:rsid w:val="00822AF1"/>
    <w:rsid w:val="008306AF"/>
    <w:rsid w:val="008414AD"/>
    <w:rsid w:val="00852E22"/>
    <w:rsid w:val="00883305"/>
    <w:rsid w:val="008B0CE3"/>
    <w:rsid w:val="008B29EA"/>
    <w:rsid w:val="008B3452"/>
    <w:rsid w:val="008B48AB"/>
    <w:rsid w:val="008D1424"/>
    <w:rsid w:val="009157A7"/>
    <w:rsid w:val="009219B9"/>
    <w:rsid w:val="00924280"/>
    <w:rsid w:val="009314AB"/>
    <w:rsid w:val="009315DB"/>
    <w:rsid w:val="009406D7"/>
    <w:rsid w:val="0094380E"/>
    <w:rsid w:val="009457C2"/>
    <w:rsid w:val="00951B77"/>
    <w:rsid w:val="00953648"/>
    <w:rsid w:val="009828E1"/>
    <w:rsid w:val="00991BF8"/>
    <w:rsid w:val="00996F15"/>
    <w:rsid w:val="009A5132"/>
    <w:rsid w:val="009C47F4"/>
    <w:rsid w:val="00A1105E"/>
    <w:rsid w:val="00A377E2"/>
    <w:rsid w:val="00A55A40"/>
    <w:rsid w:val="00A77E0C"/>
    <w:rsid w:val="00A82260"/>
    <w:rsid w:val="00AA0480"/>
    <w:rsid w:val="00AA2BFC"/>
    <w:rsid w:val="00AB3BCE"/>
    <w:rsid w:val="00AC2858"/>
    <w:rsid w:val="00AC3041"/>
    <w:rsid w:val="00AF1D87"/>
    <w:rsid w:val="00B07BC7"/>
    <w:rsid w:val="00B10AE6"/>
    <w:rsid w:val="00B12D17"/>
    <w:rsid w:val="00B2156F"/>
    <w:rsid w:val="00B33C27"/>
    <w:rsid w:val="00B42EFD"/>
    <w:rsid w:val="00B475F3"/>
    <w:rsid w:val="00B51435"/>
    <w:rsid w:val="00B56396"/>
    <w:rsid w:val="00B65E5E"/>
    <w:rsid w:val="00B71D84"/>
    <w:rsid w:val="00B77EA1"/>
    <w:rsid w:val="00B87F23"/>
    <w:rsid w:val="00B93232"/>
    <w:rsid w:val="00BA3F50"/>
    <w:rsid w:val="00BB1ED2"/>
    <w:rsid w:val="00BC5F05"/>
    <w:rsid w:val="00BD22A5"/>
    <w:rsid w:val="00BE0812"/>
    <w:rsid w:val="00BF4EEE"/>
    <w:rsid w:val="00C078DB"/>
    <w:rsid w:val="00C14846"/>
    <w:rsid w:val="00C15910"/>
    <w:rsid w:val="00C54F09"/>
    <w:rsid w:val="00C6240E"/>
    <w:rsid w:val="00C67B2A"/>
    <w:rsid w:val="00C72AC9"/>
    <w:rsid w:val="00C73560"/>
    <w:rsid w:val="00C86FCB"/>
    <w:rsid w:val="00C87103"/>
    <w:rsid w:val="00C916D0"/>
    <w:rsid w:val="00C924AF"/>
    <w:rsid w:val="00CC5085"/>
    <w:rsid w:val="00CF7589"/>
    <w:rsid w:val="00D05CEC"/>
    <w:rsid w:val="00D16256"/>
    <w:rsid w:val="00D27D71"/>
    <w:rsid w:val="00D32EAC"/>
    <w:rsid w:val="00D56ECB"/>
    <w:rsid w:val="00D57D1C"/>
    <w:rsid w:val="00D63487"/>
    <w:rsid w:val="00D72C0D"/>
    <w:rsid w:val="00D72D1B"/>
    <w:rsid w:val="00D942F2"/>
    <w:rsid w:val="00DA0912"/>
    <w:rsid w:val="00DA7567"/>
    <w:rsid w:val="00DB511F"/>
    <w:rsid w:val="00DC3355"/>
    <w:rsid w:val="00DC71CA"/>
    <w:rsid w:val="00DE04D5"/>
    <w:rsid w:val="00DE4E41"/>
    <w:rsid w:val="00DF042B"/>
    <w:rsid w:val="00E06A02"/>
    <w:rsid w:val="00E06FB4"/>
    <w:rsid w:val="00E10B42"/>
    <w:rsid w:val="00E17791"/>
    <w:rsid w:val="00E71391"/>
    <w:rsid w:val="00E7486C"/>
    <w:rsid w:val="00E94B85"/>
    <w:rsid w:val="00EA6438"/>
    <w:rsid w:val="00ED4628"/>
    <w:rsid w:val="00ED6D7E"/>
    <w:rsid w:val="00EF6D1E"/>
    <w:rsid w:val="00F24E44"/>
    <w:rsid w:val="00F57C39"/>
    <w:rsid w:val="00F62BA2"/>
    <w:rsid w:val="00F75343"/>
    <w:rsid w:val="00F9710D"/>
    <w:rsid w:val="00FA3658"/>
    <w:rsid w:val="00FB271E"/>
    <w:rsid w:val="00FD1050"/>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D5411"/>
  <w15:chartTrackingRefBased/>
  <w15:docId w15:val="{9F58A956-8A91-534E-9007-DD29124A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3F5"/>
    <w:pPr>
      <w:tabs>
        <w:tab w:val="center" w:pos="4513"/>
        <w:tab w:val="right" w:pos="9026"/>
      </w:tabs>
    </w:pPr>
  </w:style>
  <w:style w:type="character" w:customStyle="1" w:styleId="HeaderChar">
    <w:name w:val="Header Char"/>
    <w:basedOn w:val="DefaultParagraphFont"/>
    <w:link w:val="Header"/>
    <w:uiPriority w:val="99"/>
    <w:rsid w:val="002373F5"/>
  </w:style>
  <w:style w:type="paragraph" w:styleId="Footer">
    <w:name w:val="footer"/>
    <w:basedOn w:val="Normal"/>
    <w:link w:val="FooterChar"/>
    <w:uiPriority w:val="99"/>
    <w:unhideWhenUsed/>
    <w:rsid w:val="002373F5"/>
    <w:pPr>
      <w:tabs>
        <w:tab w:val="center" w:pos="4513"/>
        <w:tab w:val="right" w:pos="9026"/>
      </w:tabs>
    </w:pPr>
  </w:style>
  <w:style w:type="character" w:customStyle="1" w:styleId="FooterChar">
    <w:name w:val="Footer Char"/>
    <w:basedOn w:val="DefaultParagraphFont"/>
    <w:link w:val="Footer"/>
    <w:uiPriority w:val="99"/>
    <w:rsid w:val="002373F5"/>
  </w:style>
  <w:style w:type="character" w:styleId="Hyperlink">
    <w:name w:val="Hyperlink"/>
    <w:basedOn w:val="DefaultParagraphFont"/>
    <w:uiPriority w:val="99"/>
    <w:unhideWhenUsed/>
    <w:rsid w:val="008B3452"/>
    <w:rPr>
      <w:color w:val="0563C1" w:themeColor="hyperlink"/>
      <w:u w:val="single"/>
    </w:rPr>
  </w:style>
  <w:style w:type="character" w:styleId="UnresolvedMention">
    <w:name w:val="Unresolved Mention"/>
    <w:basedOn w:val="DefaultParagraphFont"/>
    <w:uiPriority w:val="99"/>
    <w:semiHidden/>
    <w:unhideWhenUsed/>
    <w:rsid w:val="008B3452"/>
    <w:rPr>
      <w:color w:val="605E5C"/>
      <w:shd w:val="clear" w:color="auto" w:fill="E1DFDD"/>
    </w:rPr>
  </w:style>
  <w:style w:type="character" w:styleId="FollowedHyperlink">
    <w:name w:val="FollowedHyperlink"/>
    <w:basedOn w:val="DefaultParagraphFont"/>
    <w:uiPriority w:val="99"/>
    <w:semiHidden/>
    <w:unhideWhenUsed/>
    <w:rsid w:val="008B3452"/>
    <w:rPr>
      <w:color w:val="954F72" w:themeColor="followedHyperlink"/>
      <w:u w:val="single"/>
    </w:rPr>
  </w:style>
  <w:style w:type="paragraph" w:styleId="ListParagraph">
    <w:name w:val="List Paragraph"/>
    <w:basedOn w:val="Normal"/>
    <w:uiPriority w:val="34"/>
    <w:qFormat/>
    <w:rsid w:val="001A7412"/>
    <w:pPr>
      <w:spacing w:after="160" w:line="259" w:lineRule="auto"/>
      <w:ind w:left="720"/>
      <w:contextualSpacing/>
    </w:pPr>
    <w:rPr>
      <w:sz w:val="22"/>
      <w:szCs w:val="22"/>
      <w:lang w:val="en-GB"/>
    </w:rPr>
  </w:style>
  <w:style w:type="paragraph" w:styleId="Date">
    <w:name w:val="Date"/>
    <w:basedOn w:val="Normal"/>
    <w:next w:val="Normal"/>
    <w:link w:val="DateChar"/>
    <w:uiPriority w:val="99"/>
    <w:semiHidden/>
    <w:unhideWhenUsed/>
    <w:rsid w:val="00DE4E41"/>
  </w:style>
  <w:style w:type="character" w:customStyle="1" w:styleId="DateChar">
    <w:name w:val="Date Char"/>
    <w:basedOn w:val="DefaultParagraphFont"/>
    <w:link w:val="Date"/>
    <w:uiPriority w:val="99"/>
    <w:semiHidden/>
    <w:rsid w:val="00DE4E41"/>
  </w:style>
  <w:style w:type="character" w:styleId="FootnoteReference">
    <w:name w:val="footnote reference"/>
    <w:basedOn w:val="DefaultParagraphFont"/>
    <w:uiPriority w:val="99"/>
    <w:semiHidden/>
    <w:unhideWhenUsed/>
    <w:rsid w:val="00D942F2"/>
    <w:rPr>
      <w:vertAlign w:val="superscript"/>
    </w:rPr>
  </w:style>
  <w:style w:type="paragraph" w:styleId="FootnoteText">
    <w:name w:val="footnote text"/>
    <w:basedOn w:val="Normal"/>
    <w:link w:val="FootnoteTextChar"/>
    <w:uiPriority w:val="99"/>
    <w:semiHidden/>
    <w:unhideWhenUsed/>
    <w:rsid w:val="003D1305"/>
    <w:rPr>
      <w:sz w:val="20"/>
      <w:szCs w:val="20"/>
    </w:rPr>
  </w:style>
  <w:style w:type="character" w:customStyle="1" w:styleId="FootnoteTextChar">
    <w:name w:val="Footnote Text Char"/>
    <w:basedOn w:val="DefaultParagraphFont"/>
    <w:link w:val="FootnoteText"/>
    <w:uiPriority w:val="99"/>
    <w:semiHidden/>
    <w:rsid w:val="003D1305"/>
    <w:rPr>
      <w:sz w:val="20"/>
      <w:szCs w:val="20"/>
    </w:rPr>
  </w:style>
  <w:style w:type="character" w:styleId="Strong">
    <w:name w:val="Strong"/>
    <w:basedOn w:val="DefaultParagraphFont"/>
    <w:uiPriority w:val="22"/>
    <w:qFormat/>
    <w:rsid w:val="001E5134"/>
    <w:rPr>
      <w:b/>
      <w:bCs/>
    </w:rPr>
  </w:style>
  <w:style w:type="paragraph" w:styleId="NoSpacing">
    <w:name w:val="No Spacing"/>
    <w:uiPriority w:val="1"/>
    <w:qFormat/>
    <w:rsid w:val="002B203C"/>
    <w:rPr>
      <w:kern w:val="2"/>
      <w:sz w:val="22"/>
      <w:szCs w:val="22"/>
      <w:lang w:val="en-AE"/>
      <w14:ligatures w14:val="standardContextual"/>
    </w:rPr>
  </w:style>
  <w:style w:type="paragraph" w:customStyle="1" w:styleId="Default">
    <w:name w:val="Default"/>
    <w:rsid w:val="00371972"/>
    <w:pPr>
      <w:autoSpaceDE w:val="0"/>
      <w:autoSpaceDN w:val="0"/>
      <w:adjustRightInd w:val="0"/>
    </w:pPr>
    <w:rPr>
      <w:rFonts w:ascii="Arial" w:hAnsi="Arial" w:cs="Arial"/>
      <w:color w:val="000000"/>
      <w14:ligatures w14:val="standardContextual"/>
    </w:rPr>
  </w:style>
  <w:style w:type="table" w:styleId="TableGrid">
    <w:name w:val="Table Grid"/>
    <w:basedOn w:val="TableNormal"/>
    <w:uiPriority w:val="39"/>
    <w:rsid w:val="00371972"/>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0E89"/>
    <w:pPr>
      <w:spacing w:before="100" w:beforeAutospacing="1" w:after="100" w:afterAutospacing="1"/>
    </w:pPr>
    <w:rPr>
      <w:rFonts w:ascii="Times New Roman" w:eastAsia="Times New Roman" w:hAnsi="Times New Roman" w:cs="Times New Roman"/>
      <w:lang/>
    </w:rPr>
  </w:style>
  <w:style w:type="character" w:customStyle="1" w:styleId="ui-provider">
    <w:name w:val="ui-provider"/>
    <w:basedOn w:val="DefaultParagraphFont"/>
    <w:rsid w:val="00C0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19129">
      <w:bodyDiv w:val="1"/>
      <w:marLeft w:val="0"/>
      <w:marRight w:val="0"/>
      <w:marTop w:val="0"/>
      <w:marBottom w:val="0"/>
      <w:divBdr>
        <w:top w:val="none" w:sz="0" w:space="0" w:color="auto"/>
        <w:left w:val="none" w:sz="0" w:space="0" w:color="auto"/>
        <w:bottom w:val="none" w:sz="0" w:space="0" w:color="auto"/>
        <w:right w:val="none" w:sz="0" w:space="0" w:color="auto"/>
      </w:divBdr>
    </w:div>
    <w:div w:id="17647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mailto:info@dtos-mu.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dtos-mu.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info@dtos-mu.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dtos-mu.com" TargetMode="External"/><Relationship Id="rId20" Type="http://schemas.openxmlformats.org/officeDocument/2006/relationships/hyperlink" Target="mailto:info@dtos-mu.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eader" Target="header2.xml"/><Relationship Id="rId10" Type="http://schemas.openxmlformats.org/officeDocument/2006/relationships/hyperlink" Target="mailto:taxadvisory@dtos-mu.com" TargetMode="External"/><Relationship Id="rId19" Type="http://schemas.openxmlformats.org/officeDocument/2006/relationships/hyperlink" Target="mailto:info@dtos-m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mailto:info@dtos-mu.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5A7C9F4E2864BA44FAF7162D093D8" ma:contentTypeVersion="22" ma:contentTypeDescription="Create a new document." ma:contentTypeScope="" ma:versionID="0db29dfa820e12348dcc498fdcb43a9b">
  <xsd:schema xmlns:xsd="http://www.w3.org/2001/XMLSchema" xmlns:xs="http://www.w3.org/2001/XMLSchema" xmlns:p="http://schemas.microsoft.com/office/2006/metadata/properties" xmlns:ns2="d17d7345-026d-42e9-9c57-2ece1f126805" xmlns:ns3="5d69e730-5918-4cf9-aa17-7bb5e550f5d9" targetNamespace="http://schemas.microsoft.com/office/2006/metadata/properties" ma:root="true" ma:fieldsID="3f8b912e7715ad903a368535826e3a80" ns2:_="" ns3:_="">
    <xsd:import namespace="d17d7345-026d-42e9-9c57-2ece1f126805"/>
    <xsd:import namespace="5d69e730-5918-4cf9-aa17-7bb5e550f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d7345-026d-42e9-9c57-2ece1f126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80df85e-2642-4c9a-bbfd-c0a2bcc2e4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69e730-5918-4cf9-aa17-7bb5e550f5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3782b9-abea-4b0d-805b-99d94db4da91}" ma:internalName="TaxCatchAll" ma:showField="CatchAllData" ma:web="5d69e730-5918-4cf9-aa17-7bb5e550f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d69e730-5918-4cf9-aa17-7bb5e550f5d9">
      <UserInfo>
        <DisplayName>Surya Foollee</DisplayName>
        <AccountId>13</AccountId>
        <AccountType/>
      </UserInfo>
      <UserInfo>
        <DisplayName>Bryan Obeegadoo</DisplayName>
        <AccountId>385</AccountId>
        <AccountType/>
      </UserInfo>
      <UserInfo>
        <DisplayName>Sandrine Lauratet</DisplayName>
        <AccountId>15</AccountId>
        <AccountType/>
      </UserInfo>
    </SharedWithUsers>
    <lcf76f155ced4ddcb4097134ff3c332f xmlns="d17d7345-026d-42e9-9c57-2ece1f126805">
      <Terms xmlns="http://schemas.microsoft.com/office/infopath/2007/PartnerControls"/>
    </lcf76f155ced4ddcb4097134ff3c332f>
    <TaxCatchAll xmlns="5d69e730-5918-4cf9-aa17-7bb5e550f5d9" xsi:nil="true"/>
  </documentManagement>
</p:properties>
</file>

<file path=customXml/itemProps1.xml><?xml version="1.0" encoding="utf-8"?>
<ds:datastoreItem xmlns:ds="http://schemas.openxmlformats.org/officeDocument/2006/customXml" ds:itemID="{FA43E7B3-F210-42A3-93FB-0E44F39784C2}">
  <ds:schemaRefs>
    <ds:schemaRef ds:uri="http://schemas.microsoft.com/sharepoint/v3/contenttype/forms"/>
  </ds:schemaRefs>
</ds:datastoreItem>
</file>

<file path=customXml/itemProps2.xml><?xml version="1.0" encoding="utf-8"?>
<ds:datastoreItem xmlns:ds="http://schemas.openxmlformats.org/officeDocument/2006/customXml" ds:itemID="{79283839-95EC-4BE9-A7B1-3C86ED90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d7345-026d-42e9-9c57-2ece1f126805"/>
    <ds:schemaRef ds:uri="5d69e730-5918-4cf9-aa17-7bb5e550f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C8FE7-0CE1-40CB-9387-CBB08A365027}">
  <ds:schemaRefs>
    <ds:schemaRef ds:uri="http://schemas.microsoft.com/office/2006/metadata/properties"/>
    <ds:schemaRef ds:uri="http://schemas.microsoft.com/office/infopath/2007/PartnerControls"/>
    <ds:schemaRef ds:uri="5d69e730-5918-4cf9-aa17-7bb5e550f5d9"/>
    <ds:schemaRef ds:uri="d17d7345-026d-42e9-9c57-2ece1f12680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Cread Cread</dc:creator>
  <cp:keywords/>
  <dc:description/>
  <cp:lastModifiedBy>Surya Foollee</cp:lastModifiedBy>
  <cp:revision>2</cp:revision>
  <cp:lastPrinted>2023-06-21T09:11:00Z</cp:lastPrinted>
  <dcterms:created xsi:type="dcterms:W3CDTF">2024-02-16T06:27:00Z</dcterms:created>
  <dcterms:modified xsi:type="dcterms:W3CDTF">2024-02-16T06:27:00Z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0x0101007D95A7C9F4E2864BA44FAF7162D093D8</vt:lpwstr>
  </property>
  <property fmtid="{D5CDD505-2E9C-101B-9397-08002B2CF9AE}" pid="3" name="MediaServiceImageTags">
    <vt:lpwstr/>
  </property>
</Properties>
</file>